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vertAlign w:val="baseline"/>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38"/>
          <w:szCs w:val="38"/>
          <w:vertAlign w:val="baseline"/>
        </w:rPr>
      </w:pPr>
      <w:r w:rsidDel="00000000" w:rsidR="00000000" w:rsidRPr="00000000">
        <w:rPr>
          <w:rFonts w:ascii="Arial" w:cs="Arial" w:eastAsia="Arial" w:hAnsi="Arial"/>
          <w:b w:val="1"/>
          <w:sz w:val="38"/>
          <w:szCs w:val="38"/>
          <w:vertAlign w:val="baseline"/>
          <w:rtl w:val="0"/>
        </w:rPr>
        <w:t xml:space="preserve">CAIETE DE SARCINI</w:t>
      </w:r>
      <w:r w:rsidDel="00000000" w:rsidR="00000000" w:rsidRPr="00000000">
        <w:rPr>
          <w:rtl w:val="0"/>
        </w:rPr>
      </w:r>
    </w:p>
    <w:p w:rsidR="00000000" w:rsidDel="00000000" w:rsidP="00000000" w:rsidRDefault="00000000" w:rsidRPr="00000000">
      <w:pPr>
        <w:tabs>
          <w:tab w:val="left" w:pos="6946"/>
        </w:tabs>
        <w:contextualSpacing w:val="0"/>
        <w:jc w:val="center"/>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pPr>
        <w:tabs>
          <w:tab w:val="left" w:pos="6946"/>
        </w:tabs>
        <w:contextualSpacing w:val="0"/>
        <w:jc w:val="cente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pPr>
        <w:pStyle w:val="Heading2"/>
        <w:tabs>
          <w:tab w:val="left" w:pos="6946"/>
        </w:tabs>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 Cerinte generale (descrierea ansamblului lucrarilor):</w:t>
      </w:r>
      <w:r w:rsidDel="00000000" w:rsidR="00000000" w:rsidRPr="00000000">
        <w:rPr>
          <w:rtl w:val="0"/>
        </w:rPr>
      </w:r>
    </w:p>
    <w:p w:rsidR="00000000" w:rsidDel="00000000" w:rsidP="00000000" w:rsidRDefault="00000000" w:rsidRPr="00000000">
      <w:pPr>
        <w:pStyle w:val="Heading2"/>
        <w:tabs>
          <w:tab w:val="left" w:pos="6946"/>
        </w:tabs>
        <w:ind w:firstLine="567"/>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1. Date generale:</w:t>
      </w: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 denumirea proiectului:</w:t>
      </w:r>
      <w:r w:rsidDel="00000000" w:rsidR="00000000" w:rsidRPr="00000000">
        <w:rPr>
          <w:rFonts w:ascii="Arial" w:cs="Arial" w:eastAsia="Arial" w:hAnsi="Arial"/>
          <w:b w:val="1"/>
          <w:i w:val="1"/>
          <w:sz w:val="24"/>
          <w:szCs w:val="24"/>
          <w:vertAlign w:val="baseline"/>
          <w:rtl w:val="0"/>
        </w:rPr>
        <w:t xml:space="preserve"> Proiectare, reparare tâmplărie exterioară Aulă și Bibliotecă </w:t>
      </w: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b w:val="0"/>
          <w:sz w:val="24"/>
          <w:szCs w:val="24"/>
          <w:vertAlign w:val="baseline"/>
        </w:rPr>
      </w:pPr>
      <w:r w:rsidDel="00000000" w:rsidR="00000000" w:rsidRPr="00000000">
        <w:rPr>
          <w:rFonts w:ascii="Arial" w:cs="Arial" w:eastAsia="Arial" w:hAnsi="Arial"/>
          <w:i w:val="1"/>
          <w:sz w:val="24"/>
          <w:szCs w:val="24"/>
          <w:vertAlign w:val="baseline"/>
          <w:rtl w:val="0"/>
        </w:rPr>
        <w:t xml:space="preserve">- beneficiar: </w:t>
      </w:r>
      <w:r w:rsidDel="00000000" w:rsidR="00000000" w:rsidRPr="00000000">
        <w:rPr>
          <w:rFonts w:ascii="Arial" w:cs="Arial" w:eastAsia="Arial" w:hAnsi="Arial"/>
          <w:b w:val="1"/>
          <w:i w:val="1"/>
          <w:sz w:val="24"/>
          <w:szCs w:val="24"/>
          <w:vertAlign w:val="baseline"/>
          <w:rtl w:val="0"/>
        </w:rPr>
        <w:t xml:space="preserve">Universitatea Tehnică Gheorghe Asachi din Iași</w:t>
      </w: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 amplasament: </w:t>
      </w:r>
      <w:r w:rsidDel="00000000" w:rsidR="00000000" w:rsidRPr="00000000">
        <w:rPr>
          <w:rFonts w:ascii="Arial" w:cs="Arial" w:eastAsia="Arial" w:hAnsi="Arial"/>
          <w:i w:val="1"/>
          <w:vertAlign w:val="baseline"/>
          <w:rtl w:val="0"/>
        </w:rPr>
        <w:t xml:space="preserve">mun. Iași, b-dul. Carol I, nr. 11A.</w:t>
      </w: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 proiectant general: </w:t>
      </w:r>
      <w:r w:rsidDel="00000000" w:rsidR="00000000" w:rsidRPr="00000000">
        <w:rPr>
          <w:rFonts w:ascii="Arial" w:cs="Arial" w:eastAsia="Arial" w:hAnsi="Arial"/>
          <w:b w:val="1"/>
          <w:i w:val="1"/>
          <w:sz w:val="24"/>
          <w:szCs w:val="24"/>
          <w:vertAlign w:val="baseline"/>
          <w:rtl w:val="0"/>
        </w:rPr>
        <w:t xml:space="preserve">S.C. ARC DESIGN S.R.L. Iaşi</w:t>
      </w: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 număr proiect: </w:t>
      </w:r>
      <w:r w:rsidDel="00000000" w:rsidR="00000000" w:rsidRPr="00000000">
        <w:rPr>
          <w:rFonts w:ascii="Arial" w:cs="Arial" w:eastAsia="Arial" w:hAnsi="Arial"/>
          <w:b w:val="1"/>
          <w:i w:val="1"/>
          <w:sz w:val="24"/>
          <w:szCs w:val="24"/>
          <w:vertAlign w:val="baseline"/>
          <w:rtl w:val="0"/>
        </w:rPr>
        <w:t xml:space="preserve">185/2018</w:t>
      </w:r>
      <w:r w:rsidDel="00000000" w:rsidR="00000000" w:rsidRPr="00000000">
        <w:rPr>
          <w:rtl w:val="0"/>
        </w:rPr>
      </w:r>
    </w:p>
    <w:p w:rsidR="00000000" w:rsidDel="00000000" w:rsidP="00000000" w:rsidRDefault="00000000" w:rsidRPr="00000000">
      <w:pPr>
        <w:pStyle w:val="Heading4"/>
        <w:tabs>
          <w:tab w:val="left" w:pos="6946"/>
        </w:tabs>
        <w:contextualSpacing w:val="0"/>
        <w:rPr>
          <w:rFonts w:ascii="Arial" w:cs="Arial" w:eastAsia="Arial" w:hAnsi="Arial"/>
          <w:sz w:val="24"/>
          <w:szCs w:val="24"/>
          <w:vertAlign w:val="baseline"/>
        </w:rPr>
      </w:pPr>
      <w:r w:rsidDel="00000000" w:rsidR="00000000" w:rsidRPr="00000000">
        <w:rPr>
          <w:rFonts w:ascii="Arial" w:cs="Arial" w:eastAsia="Arial" w:hAnsi="Arial"/>
          <w:i w:val="1"/>
          <w:sz w:val="24"/>
          <w:szCs w:val="24"/>
          <w:vertAlign w:val="baseline"/>
          <w:rtl w:val="0"/>
        </w:rPr>
        <w:t xml:space="preserve">- faza de proiectare: </w:t>
      </w:r>
      <w:r w:rsidDel="00000000" w:rsidR="00000000" w:rsidRPr="00000000">
        <w:rPr>
          <w:rFonts w:ascii="Arial" w:cs="Arial" w:eastAsia="Arial" w:hAnsi="Arial"/>
          <w:b w:val="1"/>
          <w:i w:val="1"/>
          <w:sz w:val="24"/>
          <w:szCs w:val="24"/>
          <w:vertAlign w:val="baseline"/>
          <w:rtl w:val="0"/>
        </w:rPr>
        <w:t xml:space="preserve">PT + DE</w:t>
      </w:r>
      <w:r w:rsidDel="00000000" w:rsidR="00000000" w:rsidRPr="00000000">
        <w:rPr>
          <w:rtl w:val="0"/>
        </w:rPr>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firstLine="567"/>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2. Situaţia propusă</w:t>
      </w:r>
      <w:r w:rsidDel="00000000" w:rsidR="00000000" w:rsidRPr="00000000">
        <w:rPr>
          <w:rtl w:val="0"/>
        </w:rPr>
      </w:r>
    </w:p>
    <w:p w:rsidR="00000000" w:rsidDel="00000000" w:rsidP="00000000" w:rsidRDefault="00000000" w:rsidRPr="00000000">
      <w:pPr>
        <w:ind w:left="720" w:firstLine="0"/>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Procesul de restaurare - conservare a părților ornamentale de la ferestre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Curățare mecanică prin periaj a depunerilor de praf și murdărie ancrasată. Periajul se v-a efectua cu perii de sârmă, cu înmuierea în prealabil a zonelor mai întâi cu apă cu detergent neionic, iar după aceea cu diluanți.</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În faza a doua se va efectua o curățare chimică pentru îndepărtarea straturilor de vopsea care au fost aplicate pe suprafețe de – a lungul timpului. Tratamentul chimic este compus din solvenți chimici compatibili cu vopseaua respectivă (decanol, dimetilformamidă, cromofag).</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Îndreptarea mecanică a deformărilor apărute în ornamente.</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Lipirea sau înlocuirea zonelor, acolo unde au apărut degradări mari. Înlocuirea zonelor degradate se va face cu material metalic cu aceleași caracteristici fizico – mecanice cu ale materialului metalic original.</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Conservarea se va face cu o vopsea cu inhibitor de rugină tip lovitură de ciocan, respectându-se cromatica originală. Vopseaua se aplică prin pensulare în cel puțin două straturi.</w:t>
      </w:r>
    </w:p>
    <w:p w:rsidR="00000000" w:rsidDel="00000000" w:rsidP="00000000" w:rsidRDefault="00000000" w:rsidRPr="00000000">
      <w:pPr>
        <w:ind w:left="720"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left="720" w:firstLine="0"/>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Procesul de restaurare - conservare pentru partea de cercevele și tocuri de metal</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Se va proceda la scoaterea sticlei în vederea înlocuirii.</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Îndepărtarea straturilor și urmelor de chit (roșu și alb) de pe canaturi prin curățire mecanică.</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Decaparea straturilor de vopsea se va face prin curățiri mecanice cu perii, curățire termică acolo unde se poate aplica și curățire chimică cu solvenți (decanol, dimetilformamidă, cromofag) până se ajunge la metalul curat.</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Se realizează o spălare cu diluant nitro sau acetonă.</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Zonele cu produși de coroziune specifici fierului (oxizii de fier sau „rugină”) li se vor aplica tratamente chimice cu acid ortofosforic, dacă este o coroziune superficială la suprafață, sau se recomandă înlocuirea elementului cu unul identic dacă este cazul unei coroziuni în profunzime.</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La părțile mecanice mobile se vor verifica cremoanele și balamalele ce vor fi restaurate sau înlocuite (unde este cazul) respectându-se forma și materialele celor originale.</w:t>
      </w:r>
    </w:p>
    <w:p w:rsidR="00000000" w:rsidDel="00000000" w:rsidP="00000000" w:rsidRDefault="00000000" w:rsidRPr="00000000">
      <w:pPr>
        <w:numPr>
          <w:ilvl w:val="0"/>
          <w:numId w:val="5"/>
        </w:numPr>
        <w:ind w:left="0" w:firstLine="567"/>
        <w:contextualSpacing w:val="0"/>
        <w:jc w:val="both"/>
        <w:rPr>
          <w:sz w:val="24"/>
          <w:szCs w:val="24"/>
        </w:rPr>
      </w:pPr>
      <w:r w:rsidDel="00000000" w:rsidR="00000000" w:rsidRPr="00000000">
        <w:rPr>
          <w:rFonts w:ascii="Arial" w:cs="Arial" w:eastAsia="Arial" w:hAnsi="Arial"/>
          <w:sz w:val="24"/>
          <w:szCs w:val="24"/>
          <w:vertAlign w:val="baseline"/>
          <w:rtl w:val="0"/>
        </w:rPr>
        <w:t xml:space="preserve">Conservarea se va face cu vopsea cu inhibitor de rugină tip lovitură de ciocan în minim două straturi respectând cromatica originală.</w:t>
      </w:r>
    </w:p>
    <w:p w:rsidR="00000000" w:rsidDel="00000000" w:rsidP="00000000" w:rsidRDefault="00000000" w:rsidRPr="00000000">
      <w:pPr>
        <w:ind w:left="720"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6946"/>
        </w:tabs>
        <w:ind w:firstLine="567"/>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3. Obligaţii şi răspunderi </w:t>
      </w:r>
      <w:r w:rsidDel="00000000" w:rsidR="00000000" w:rsidRPr="00000000">
        <w:rPr>
          <w:rtl w:val="0"/>
        </w:rPr>
      </w:r>
    </w:p>
    <w:p w:rsidR="00000000" w:rsidDel="00000000" w:rsidP="00000000" w:rsidRDefault="00000000" w:rsidRPr="00000000">
      <w:pPr>
        <w:tabs>
          <w:tab w:val="left" w:pos="6946"/>
        </w:tabs>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Obligaţiile şi răspunderile privind intervenţiile sunt cuprinse în "Regulamentul privind urmărirea comportării în exploatare, intervenţiile în timp şi postutilizarea construcţiilor"; anexa 3 la H.G. nr. 2618/8.VI.1994, precum şi în Legea 10/1995 privind calitatea în construcţii.</w:t>
      </w:r>
    </w:p>
    <w:p w:rsidR="00000000" w:rsidDel="00000000" w:rsidP="00000000" w:rsidRDefault="00000000" w:rsidRPr="00000000">
      <w:pPr>
        <w:tabs>
          <w:tab w:val="left" w:pos="6946"/>
        </w:tabs>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Obligaţii şi răspunderi ale executanţilor:</w:t>
      </w:r>
    </w:p>
    <w:p w:rsidR="00000000" w:rsidDel="00000000" w:rsidP="00000000" w:rsidRDefault="00000000" w:rsidRPr="00000000">
      <w:pPr>
        <w:numPr>
          <w:ilvl w:val="0"/>
          <w:numId w:val="4"/>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începerea execuţiei lucrărilor numai pe baza documentaţiei tehnice, funcţie de categoria de importanţă a construcţiei;</w:t>
      </w:r>
    </w:p>
    <w:p w:rsidR="00000000" w:rsidDel="00000000" w:rsidP="00000000" w:rsidRDefault="00000000" w:rsidRPr="00000000">
      <w:pPr>
        <w:numPr>
          <w:ilvl w:val="0"/>
          <w:numId w:val="4"/>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respectarea prevederilor din documentaţia tehnică aferentă;</w:t>
      </w:r>
    </w:p>
    <w:p w:rsidR="00000000" w:rsidDel="00000000" w:rsidP="00000000" w:rsidRDefault="00000000" w:rsidRPr="00000000">
      <w:pPr>
        <w:numPr>
          <w:ilvl w:val="0"/>
          <w:numId w:val="4"/>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organizare de şantier corespunzătoare anvergurii lucrării;</w:t>
      </w:r>
    </w:p>
    <w:p w:rsidR="00000000" w:rsidDel="00000000" w:rsidP="00000000" w:rsidRDefault="00000000" w:rsidRPr="00000000">
      <w:pPr>
        <w:numPr>
          <w:ilvl w:val="0"/>
          <w:numId w:val="4"/>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realizarea condiţiilor de calitate prevăzute în documentaţia tehnică;</w:t>
      </w:r>
    </w:p>
    <w:p w:rsidR="00000000" w:rsidDel="00000000" w:rsidP="00000000" w:rsidRDefault="00000000" w:rsidRPr="00000000">
      <w:pPr>
        <w:numPr>
          <w:ilvl w:val="0"/>
          <w:numId w:val="4"/>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instruirea personalului asupra procesului tehnologic, asupra succesiunii fazelor şi operaţiilor şi a măsurilor de protecţia muncii;</w:t>
      </w:r>
    </w:p>
    <w:p w:rsidR="00000000" w:rsidDel="00000000" w:rsidP="00000000" w:rsidRDefault="00000000" w:rsidRPr="00000000">
      <w:pPr>
        <w:numPr>
          <w:ilvl w:val="0"/>
          <w:numId w:val="4"/>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luarea măsurilor de protecţie a vecininataţilor  prin evitarea de transmitere a vibraţiilor puternice sau a şocurilor, prin degajări mari de praf, precum şi prin asigurarea acceselor necesare la aceste vecinătăţi;</w:t>
      </w:r>
    </w:p>
    <w:p w:rsidR="00000000" w:rsidDel="00000000" w:rsidP="00000000" w:rsidRDefault="00000000" w:rsidRPr="00000000">
      <w:pPr>
        <w:numPr>
          <w:ilvl w:val="0"/>
          <w:numId w:val="6"/>
        </w:numPr>
        <w:tabs>
          <w:tab w:val="left" w:pos="6946"/>
        </w:tabs>
        <w:ind w:left="1418" w:hanging="284.00000000000006"/>
        <w:contextualSpacing w:val="0"/>
        <w:jc w:val="both"/>
        <w:rPr>
          <w:sz w:val="24"/>
          <w:szCs w:val="24"/>
        </w:rPr>
      </w:pPr>
      <w:r w:rsidDel="00000000" w:rsidR="00000000" w:rsidRPr="00000000">
        <w:rPr>
          <w:rFonts w:ascii="Arial" w:cs="Arial" w:eastAsia="Arial" w:hAnsi="Arial"/>
          <w:sz w:val="24"/>
          <w:szCs w:val="24"/>
          <w:vertAlign w:val="baseline"/>
          <w:rtl w:val="0"/>
        </w:rPr>
        <w:t xml:space="preserve">măsuri de protecţie a circulaţiei şi a mediului înconjurător.</w:t>
      </w:r>
    </w:p>
    <w:p w:rsidR="00000000" w:rsidDel="00000000" w:rsidP="00000000" w:rsidRDefault="00000000" w:rsidRPr="00000000">
      <w:pPr>
        <w:tabs>
          <w:tab w:val="left" w:pos="6946"/>
        </w:tabs>
        <w:ind w:left="1418" w:firstLine="0"/>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ind w:firstLine="567"/>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4.  Măsuri și reguli de protecție la acțiunea focului </w:t>
      </w:r>
      <w:r w:rsidDel="00000000" w:rsidR="00000000" w:rsidRPr="00000000">
        <w:rPr>
          <w:rtl w:val="0"/>
        </w:rPr>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4.1.1. Măsurile de protecţie împotriva incendiilor se stabilesc în funcţie de categoria de pericol de incendiu a proceselor tehnologice, de gradul de rezistenţă la foc al elementelor de tâmplărie, precum şi de sarcina termică a materialelor şi substanţelor combustibile utilizate, prelucrate, manipulate sau depozitate, definite conform reglementărilor tehnice C300 - 94.</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4.1.2. Organizarea activităţii de prevenire şi stingere a incendiilor precum şi a evacuării persoanelor şi bunurilor în caz de incendiu, vizează în principal:</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stabilirea  în instrucţiunile  de  lucru,  a  modului de operare precum şi a regulilor, măsurilor de prevenire şi stingere a incendiilor ce trebuie respectate în timpul executării lucrărilor;</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stabilirea modului şi a planului de depozitare a materialelor şi bunurilor cu pericol de incendiu sau explozie;</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dotarea locului de muncă cu mijloace de prevenire şi stingere a incendiilor, necesare conform  normelor, amplasarea corespunzătoare a acestora şi întreţinerea în perfectă stare de funcţionare;</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organizarea alarmării, alertării şi a intervenţiei pentru stingerea incendiilor la locul de muncă, precum şi constituirea echipelor de intervenţie şi a atribuţiilor concrete;</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organizarea  evacuării  persoanelor  şi  a  bunurilor  în  caz de incendiu precum şi întocmirea planurilor de evacuare;</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 întocmirea  ipotezelor  şi  schemelor  de  intervenţie pentru stingerea incendiilor la instalaţiilor cu pericol deosebit;</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 marcarea  cu  inscripţii  şi  indicatoare  de  securitate şi expunerea materialelor de propagandă împotriva incendiilor.</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4.1.3. Înaintea începerii procesului tehnologic de demontare, muncitorii trebuie să fie instruiţi să respecte regulile de pază împotriva incendiilor.</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4.1.4. De asemenea, muncitorii trebuie să cunoască care sunt căile de evacuare în caz de incendiu, acestea trebuie marcate corespunzător prin panouri vizibile.</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4.1.5. Scările de evacuare trebuie să aibă protecţii corespunzătoare împotriva propagării fumului şi focului şi să asigure ieşirea persoanelor la nivelul terenului.</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4.1.6. Pe timpul lucrului se vor respecta întocmai instrucţiunile tehnice privind tehnologiile de desfacere, precum şi normele de prevenire a incendiilor.</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4.1.7. La terminarea lucrului se va asigura:</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întreruperea iluminatului electric, cu excepţia celui de siguranţă;</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evacuarea din incintă a deşeurilor rezidurilor şi a altor materiale combustibile;</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înlăturarea tuturor surselor cu foc deschis;</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evacuarea materialelor din spaţii de siguranţă dintre construcţie şi instalaţii.</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4.1.8. Este obligatorie marcarea cu indicatoare de securitate executate şi montate conform standardelor STAS 297/1 şi STAS 297/2</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4.1.9. Montarea şi demontarea construcţiilor provizorii pentru organizarea de şantier se va face conform proiectelor de organizare.</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4.1.10. Depozitarea subansamblelor şi a materialelor rezultate din procesele de demontare, transportul acestora pe alt amplasament se va face  în raport cu comportarea la foc a acestora şi cu condiţia de a nu bloca căile de acces de apă şi mijloacele de stingere şi spaţiile de siguranţă dintre clădiri.</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4.1.11. Ordinea operaţiilor de desfacere sau demontare se va stabili în conformitate cu caracteristicile construcţiilor respective, astfel încât operaţiile de tăiere sau rupere a unor ansambluri nedemontabile să nu creeze pericolul de aprindere a elementelor combustibile ale construcţiei.</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4.1.12. Se interzice lucrul cu foc deschis la distanţe mai mici de 3 m faţă de elementele sau materialele combustibilre PAS (carton  sau pânza bitumată, poliester, lemn, etc) fără luarea măsurilor de protecţie specifice (izolare, umectare, ecranare, etc). Zilnic, după terminarea programului de lucru, încăperile se curăţă de resturile şi deşeurile rezultate. Materialele şi substanţele combustibile se depozitează în locuri special amenajate, fără pericol de producere a incendiilor.</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4.1.13. Pe timpul executării lucrărilor la desfacerea tâmplăriei este interzis focul deschis sau fumatul. Sunt exceptate dispozitivele tehnologice prevăzute şi asigurate cu protecţiile necesare.</w:t>
      </w:r>
    </w:p>
    <w:p w:rsidR="00000000" w:rsidDel="00000000" w:rsidP="00000000" w:rsidRDefault="00000000" w:rsidRPr="00000000">
      <w:pPr>
        <w:tabs>
          <w:tab w:val="left" w:pos="567"/>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4.1.14. La executarea lucrărilor pentru desfacerea tâmplăriei pe timp friguros se interzice curăţirea de zăpadă şi gheaţă a materialului lemnos cu foc deschis.</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6946"/>
        </w:tabs>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B. Capitole de lucrări ce se vor executa în şantier:</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numPr>
          <w:ilvl w:val="0"/>
          <w:numId w:val="2"/>
        </w:numPr>
        <w:tabs>
          <w:tab w:val="left" w:pos="993"/>
        </w:tabs>
        <w:ind w:left="720" w:hanging="360"/>
        <w:contextualSpacing w:val="0"/>
        <w:jc w:val="both"/>
        <w:rPr>
          <w:rFonts w:ascii="Arial" w:cs="Arial" w:eastAsia="Arial" w:hAnsi="Arial"/>
          <w:b w:val="0"/>
          <w:i w:val="0"/>
          <w:sz w:val="24"/>
          <w:szCs w:val="24"/>
        </w:rPr>
      </w:pPr>
      <w:r w:rsidDel="00000000" w:rsidR="00000000" w:rsidRPr="00000000">
        <w:rPr>
          <w:rFonts w:ascii="Arial" w:cs="Arial" w:eastAsia="Arial" w:hAnsi="Arial"/>
          <w:b w:val="1"/>
          <w:i w:val="1"/>
          <w:sz w:val="24"/>
          <w:szCs w:val="24"/>
          <w:vertAlign w:val="baseline"/>
          <w:rtl w:val="0"/>
        </w:rPr>
        <w:t xml:space="preserve">TÂMPLĂRIE METALICĂ</w:t>
      </w: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Domenii de aplicare</w:t>
      </w: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Prevederile prezentului capitol se referă la verificarea calităţii şi recepţia lucrărilor de tâmplărie (ferestre), geamuri aferente tâmplăriei şi glafurilor.</w:t>
      </w:r>
    </w:p>
    <w:p w:rsidR="00000000" w:rsidDel="00000000" w:rsidP="00000000" w:rsidRDefault="00000000" w:rsidRPr="00000000">
      <w:pPr>
        <w:ind w:firstLine="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Prevederi comune</w:t>
      </w: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Verificarea produselor din tâmplărie metalică montate pe şantier se efectuează la primirea pe şantier şi în tot timpul punerii în operă  (montării) precum şi la recepţie.</w:t>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Tâmplăria metalică soseşte pe şantier după intervențiile de restaurare şi trebuie verificată de către conducătorul tehnic al lucrării sub aspectul:</w:t>
      </w:r>
    </w:p>
    <w:p w:rsidR="00000000" w:rsidDel="00000000" w:rsidP="00000000" w:rsidRDefault="00000000" w:rsidRPr="00000000">
      <w:pPr>
        <w:widowControl w:val="0"/>
        <w:numPr>
          <w:ilvl w:val="0"/>
          <w:numId w:val="1"/>
        </w:numPr>
        <w:tabs>
          <w:tab w:val="left" w:pos="567"/>
        </w:tabs>
        <w:ind w:left="0" w:firstLine="0"/>
        <w:contextualSpacing w:val="0"/>
        <w:jc w:val="both"/>
        <w:rPr>
          <w:sz w:val="24"/>
          <w:szCs w:val="24"/>
        </w:rPr>
      </w:pPr>
      <w:r w:rsidDel="00000000" w:rsidR="00000000" w:rsidRPr="00000000">
        <w:rPr>
          <w:rFonts w:ascii="Arial" w:cs="Arial" w:eastAsia="Arial" w:hAnsi="Arial"/>
          <w:sz w:val="24"/>
          <w:szCs w:val="24"/>
          <w:vertAlign w:val="baseline"/>
          <w:rtl w:val="0"/>
        </w:rPr>
        <w:t xml:space="preserve">existenţei şi conformităţii cu conţinutul certificatelor de calitate</w:t>
      </w:r>
    </w:p>
    <w:p w:rsidR="00000000" w:rsidDel="00000000" w:rsidP="00000000" w:rsidRDefault="00000000" w:rsidRPr="00000000">
      <w:pPr>
        <w:widowControl w:val="0"/>
        <w:numPr>
          <w:ilvl w:val="0"/>
          <w:numId w:val="1"/>
        </w:numPr>
        <w:tabs>
          <w:tab w:val="left" w:pos="567"/>
        </w:tabs>
        <w:ind w:left="0" w:firstLine="0"/>
        <w:contextualSpacing w:val="0"/>
        <w:jc w:val="both"/>
        <w:rPr>
          <w:sz w:val="24"/>
          <w:szCs w:val="24"/>
        </w:rPr>
      </w:pPr>
      <w:r w:rsidDel="00000000" w:rsidR="00000000" w:rsidRPr="00000000">
        <w:rPr>
          <w:rFonts w:ascii="Arial" w:cs="Arial" w:eastAsia="Arial" w:hAnsi="Arial"/>
          <w:sz w:val="24"/>
          <w:szCs w:val="24"/>
          <w:vertAlign w:val="baseline"/>
          <w:rtl w:val="0"/>
        </w:rPr>
        <w:t xml:space="preserve">corespondenţei cu prevederile din proiect şi cu prescripţiile tehnice de produs;</w:t>
      </w:r>
    </w:p>
    <w:p w:rsidR="00000000" w:rsidDel="00000000" w:rsidP="00000000" w:rsidRDefault="00000000" w:rsidRPr="00000000">
      <w:pPr>
        <w:widowControl w:val="0"/>
        <w:numPr>
          <w:ilvl w:val="0"/>
          <w:numId w:val="1"/>
        </w:numPr>
        <w:tabs>
          <w:tab w:val="left" w:pos="567"/>
        </w:tabs>
        <w:ind w:left="0" w:firstLine="0"/>
        <w:contextualSpacing w:val="0"/>
        <w:jc w:val="both"/>
        <w:rPr>
          <w:sz w:val="24"/>
          <w:szCs w:val="24"/>
        </w:rPr>
      </w:pPr>
      <w:r w:rsidDel="00000000" w:rsidR="00000000" w:rsidRPr="00000000">
        <w:rPr>
          <w:rFonts w:ascii="Arial" w:cs="Arial" w:eastAsia="Arial" w:hAnsi="Arial"/>
          <w:sz w:val="24"/>
          <w:szCs w:val="24"/>
          <w:vertAlign w:val="baseline"/>
          <w:rtl w:val="0"/>
        </w:rPr>
        <w:t xml:space="preserve">existenţei şi conformităţii calităţii accesoriilor de prindere, manevrare etc.</w:t>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punerea în operă se verifică dacă în urma depozitării şi manipulării tâmplăria nu a fost deteriorată. Eventualele deteriorări minore se vor remedia înainte de montaj. Verificarea pe parcursul montării va fi efectuată de către conducătorul tehnic al lucrării.</w:t>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Verificarea pe faze a calităţii lucrărilor se face conform regulamentului în vigoare şi se referă la respectarea prevederilor din proiect şi la condiţiile de calitate precum şi încadrarea în abaterile admisibile.</w:t>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Tâmplăria închiderilor exterioare este dublă, fiecare rând va avea o foaie de sticlă artizanală, în profilele metalice inițiale, verificate și restaurat.</w:t>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Profilele tâmplăriei sunt realzate din laminate de oțel, dispuse astfel încât să anuleze tensiunile interne şi a exclude posibilitatea deformării în timp.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Tâmplăria va fi protejată și conservarea se va face cu o vopsea cu inhibitor de rugină tip lovitură de ciocan, respectându-se cromatica originală. Vopseaua se aplică prin pensulare în cel puțin două straturi. Grosimea finisajului exterior va fi de min. 150 microni și se va reaplica o dată la 3 ani.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Prinderea tocurilor în golurile pentru fereastră se va executa prin șuruburi de înaltă rezistență, min. 3 pe fiecare latură. Între tâmplărie și zidărie se prevede termoizolație din vata minerala, 1-2cm grosime. Etansarea se va realiza cu burete precomprimat pentru difuzia vaporilor.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Feroneria propusă va fi cea inițială, restaurată și va avea acceași culoare ca tâmplăria. Va avea cicluri închis-deschis de aproximativ 15000 ori și va avea standard de securitate RC2.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vor reface tencuielile și profilaturile existante, funcție de destinația spațiului, în jurul pervazurilor cu materiale similare cu cele existente.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Pentru a nu fi afectată fațada, toate lucrările se vor executa din interior. La nevoie se vor demonta și apoi remonta parțial glafurile exterioare.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NOTĂ: Tâmplăria va fi conservată conform situației existente, corelându-se cu dimensiunile luate la fața locului de către EXECUTANT. Tâmplăria se va repune în operă după finisarea golurilor. Se va avea în vedere faptul că după intervențiile asupra tâmplăriei actuale vor trebui îndepărtate toate fragmentele libere sau parțial desprinse din șpaleții de zidărie. Tâmplăria propusă spre restaurare va fi conservată, cu intervenții minime de adaptare, după dimensiunile rezultate în urma curățării și refacerii golurilor.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Recomandări în exploatare</w:t>
      </w: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Pentru a împiedica apariţia fenomenului de condens este indispensabilă ventilarea încăperilor oricât de limitate ar fi debitele surselor de vapori şi de ridicate temperaturile de exploatare.</w:t>
      </w:r>
    </w:p>
    <w:p w:rsidR="00000000" w:rsidDel="00000000" w:rsidP="00000000" w:rsidRDefault="00000000" w:rsidRPr="00000000">
      <w:pPr>
        <w:ind w:firstLine="720"/>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Deci, pentru a elimina apariţia fenomenului de condens, este necesară îndeplinirea următoarelor condiţii:</w:t>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alegere corectă a tipului de profile în funcţie de condiţiile de mediu;</w:t>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ventilarea încăperilor cu păstrarea unei temperaturi constante şi reducerea umidităţii la valori cât mai mici;</w:t>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aşezarea corectă a tâmplăriei în raport cu sursele de căldură.</w:t>
      </w:r>
    </w:p>
    <w:p w:rsidR="00000000" w:rsidDel="00000000" w:rsidP="00000000" w:rsidRDefault="00000000" w:rsidRPr="00000000">
      <w:pP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ab/>
      </w:r>
      <w:r w:rsidDel="00000000" w:rsidR="00000000" w:rsidRPr="00000000">
        <w:rPr>
          <w:rFonts w:ascii="Arial" w:cs="Arial" w:eastAsia="Arial" w:hAnsi="Arial"/>
          <w:b w:val="1"/>
          <w:sz w:val="24"/>
          <w:szCs w:val="24"/>
          <w:vertAlign w:val="baseline"/>
          <w:rtl w:val="0"/>
        </w:rPr>
        <w:t xml:space="preserve">Normative privind proiectarea și executarea lucrărilor de tâmplărie și montarea geamurilor</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C 47/1986 Instrucţiuni tehnice pentru folosirea şi montarea geamurilor şi a altor produse de sticlă în construcţii  </w:t>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STAS 799-88 Ferestre şi uşi din lemn. Condiţii tehnice generale</w:t>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STAS 9317/4, STAS 2/1987 Tâmplărie pentru construcţii. Metodele de verificare a calităţii</w:t>
      </w:r>
    </w:p>
    <w:p w:rsidR="00000000" w:rsidDel="00000000" w:rsidP="00000000" w:rsidRDefault="00000000" w:rsidRPr="00000000">
      <w:pPr>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STAS 853/1980 Geamuri trase</w:t>
      </w:r>
    </w:p>
    <w:p w:rsidR="00000000" w:rsidDel="00000000" w:rsidP="00000000" w:rsidRDefault="00000000" w:rsidRPr="00000000">
      <w:pPr>
        <w:widowControl w:val="0"/>
        <w:tabs>
          <w:tab w:val="left" w:pos="1440"/>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STAS 3230/1984 Garnituri de cauciuc de uz general pentru ferestre</w:t>
      </w:r>
    </w:p>
    <w:p w:rsidR="00000000" w:rsidDel="00000000" w:rsidP="00000000" w:rsidRDefault="00000000" w:rsidRPr="00000000">
      <w:pPr>
        <w:widowControl w:val="0"/>
        <w:tabs>
          <w:tab w:val="left" w:pos="1440"/>
        </w:tabs>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6946"/>
        </w:tabs>
        <w:ind w:firstLine="567"/>
        <w:contextualSpacing w:val="0"/>
        <w:jc w:val="both"/>
        <w:rPr>
          <w:rFonts w:ascii="Arial" w:cs="Arial" w:eastAsia="Arial" w:hAnsi="Arial"/>
          <w:b w:val="0"/>
          <w:i w:val="0"/>
          <w:sz w:val="24"/>
          <w:szCs w:val="24"/>
          <w:vertAlign w:val="baseline"/>
        </w:rPr>
      </w:pPr>
      <w:r w:rsidDel="00000000" w:rsidR="00000000" w:rsidRPr="00000000">
        <w:rPr>
          <w:rFonts w:ascii="Arial" w:cs="Arial" w:eastAsia="Arial" w:hAnsi="Arial"/>
          <w:b w:val="1"/>
          <w:i w:val="1"/>
          <w:sz w:val="24"/>
          <w:szCs w:val="24"/>
          <w:vertAlign w:val="baseline"/>
          <w:rtl w:val="0"/>
        </w:rPr>
        <w:t xml:space="preserve">2. LUCRĂRI DE TENCUIELI INTERIOARE </w:t>
      </w:r>
      <w:r w:rsidDel="00000000" w:rsidR="00000000" w:rsidRPr="00000000">
        <w:rPr>
          <w:rtl w:val="0"/>
        </w:rPr>
      </w:r>
    </w:p>
    <w:p w:rsidR="00000000" w:rsidDel="00000000" w:rsidP="00000000" w:rsidRDefault="00000000" w:rsidRPr="00000000">
      <w:pPr>
        <w:ind w:firstLine="567"/>
        <w:contextualSpacing w:val="0"/>
        <w:jc w:val="both"/>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Prevederile prezentului capitol se referă la toate tencuielile elementelor de construcţii, având rolul unui finisaj de protecţie şi executate cu mortare de orice tip.</w:t>
      </w:r>
      <w:r w:rsidDel="00000000" w:rsidR="00000000" w:rsidRPr="00000000">
        <w:rPr>
          <w:rFonts w:ascii="Arial" w:cs="Arial" w:eastAsia="Arial" w:hAnsi="Arial"/>
          <w:b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Tencuielile fiind lucrări destinate de cele mai multe ori să rămână vizibile, calitatea lor din punct de vedere al aspectului poate fi verificată oricând, după terminarea întregului obiect.</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Verificarea calităţii suportului pe care se aplică tencuiala se face în cadrul verificării execuţiei acestui suport.</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Este absolut interzis de a aplica tencuiala peste suporţi ce nu au fost recepţionaţi conform instrucţiunilor specifice.</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Înainte de execuţia tencuielilor este necesar de a se verifica dacă au fost recepţionate toate lucrările destinate a le proteja sau lucrări care prin execuţie ulterioară ar provoca deteriorarea tencuielilor: învelitori, tâmplării pe toc, etc.</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 va verifica dacă odată  cu execuţia suporţilor au fost montate toate piesele necesare fiecărei tâmplării sau instalaţii: ghermele, praznuri, colţare, etc.</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Materialele nu pot fi introduse în lucrare decât dacă s-a verificat în prealabil de către conducătorul tehnic al lucrării că acestea au fost livrate cu certificate de calitate, care să confirme că sunt corespunzătoare cu normele respective.</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 parcursul lucrării este necesar a se verifica dacă se respectă tehnologia de execuţie, utilizarea tipului şi compoziţiei mortarului, precum şi aplicarea straturilor succesive fără depăşiri de grosimi maxime. Se vor lua măsuri împotriva uscării prea rapide.</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Rezultatele încercărilor de control ale epruvetelor de mortar trebuie comunicate conducătorului tehnic al lucrării în termen de 48 ore de la încercare. În toate cazurile în care rezultatul încercării este sub 7 % din marca prescrisă, se va anunţa beneficiarul lucrării pentru a stabili dacă tencuiala poate fi acceptată. Aceste cazuri se înscriu în registrul de Procese verbale de lucrări ascunse şi se vor menţiona în prezentarea ce se predă comisiei de recepţie preliminară, această comisie va hotărî definitiv asupra acceptării tencuielilor respective.</w:t>
      </w:r>
    </w:p>
    <w:p w:rsidR="00000000" w:rsidDel="00000000" w:rsidP="00000000" w:rsidRDefault="00000000" w:rsidRPr="00000000">
      <w:pPr>
        <w:ind w:firstLine="567"/>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Verificarea pe faze de lucrări a tencuielilor se face având în vedere următoarele:</w:t>
      </w:r>
      <w:r w:rsidDel="00000000" w:rsidR="00000000" w:rsidRPr="00000000">
        <w:rPr>
          <w:rtl w:val="0"/>
        </w:rPr>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rezistenţa mortarului;</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 numărul de straturi ce se aplică şi grosimile respective;</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 aderenţa la suport şi între două straturi;</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 planeitatea suporturilor şi liniaritatea muchiilor;</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 dimensiunea, calitatea şi poziţia elementelor decorative (solbancuri, brâie, cornişe).</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Aceste verificări se efectuează la terminarea unei faze de lucrări, se fac cel puţin câte una la fiecare porţiune executată.</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recepţia preliminară se efectuează direct de către comisia aceleaşi verificări, dar cu o frecvenţă de minim 1/3 din frecvenţa fazei precedente.</w:t>
      </w:r>
    </w:p>
    <w:p w:rsidR="00000000" w:rsidDel="00000000" w:rsidP="00000000" w:rsidRDefault="00000000" w:rsidRPr="00000000">
      <w:pPr>
        <w:ind w:firstLine="567"/>
        <w:contextualSpacing w:val="0"/>
        <w:jc w:val="both"/>
        <w:rPr>
          <w:rFonts w:ascii="Arial" w:cs="Arial" w:eastAsia="Arial" w:hAnsi="Arial"/>
          <w:sz w:val="24"/>
          <w:szCs w:val="24"/>
          <w:vertAlign w:val="baseline"/>
        </w:rPr>
      </w:pPr>
      <w:r w:rsidDel="00000000" w:rsidR="00000000" w:rsidRPr="00000000">
        <w:rPr>
          <w:rtl w:val="0"/>
        </w:rPr>
      </w:r>
    </w:p>
    <w:tbl>
      <w:tblPr>
        <w:tblStyle w:val="Table1"/>
        <w:tblW w:w="9732.0" w:type="dxa"/>
        <w:jc w:val="left"/>
        <w:tblInd w:w="210.0" w:type="dxa"/>
        <w:tblLayout w:type="fixed"/>
        <w:tblLook w:val="0000"/>
      </w:tblPr>
      <w:tblGrid>
        <w:gridCol w:w="2250"/>
        <w:gridCol w:w="1725"/>
        <w:gridCol w:w="1920"/>
        <w:gridCol w:w="1620"/>
        <w:gridCol w:w="2217"/>
        <w:tblGridChange w:id="0">
          <w:tblGrid>
            <w:gridCol w:w="2250"/>
            <w:gridCol w:w="1725"/>
            <w:gridCol w:w="1920"/>
            <w:gridCol w:w="1620"/>
            <w:gridCol w:w="2217"/>
          </w:tblGrid>
        </w:tblGridChange>
      </w:tblGrid>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Abateri admise la lucrările de tencuieli</w:t>
            </w:r>
            <w:r w:rsidDel="00000000" w:rsidR="00000000" w:rsidRPr="00000000">
              <w:rPr>
                <w:rtl w:val="0"/>
              </w:rPr>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Denumirea defectului</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Tencuiala brută</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Tencuiala drişcuită</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Tencuiala gletuită</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Tencuială faţade</w:t>
            </w:r>
            <w:r w:rsidDel="00000000" w:rsidR="00000000" w:rsidRPr="00000000">
              <w:rPr>
                <w:rtl w:val="0"/>
              </w:rPr>
            </w:r>
          </w:p>
        </w:tc>
      </w:tr>
      <w:tr>
        <w:trPr>
          <w:trHeight w:val="400" w:hRule="atLeast"/>
        </w:trP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Umflături, ciupituri, împuşcături, fisuri, lipsuri la glafurile ferestrelor, la pervazuri, plinte, </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 una până la 4 cm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/1m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admit.</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admit.</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admit.</w:t>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Zgrunţuri mari (până la max. 3 mm), băşici şi zgârieturi adânci formate la drişcuire la stratul de acoperire.</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 2 la 1m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admit.</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admit.</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admit.</w:t>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Neregularităţi ale suprafeţelor - verificare cu dreptarul de 2 m lungime.</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verifică.</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 2</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neregularităţi în orice direcţie, având adâncimea sau înălţimea până la 2 m.</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 2 neregularităţi în orice direcţie, având adâncimea sau înălţimea până la 1 mm.</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 3 mm / neregularităţi în orice direcţie, având adâncimea sau înălţimea până la 3 mm.</w:t>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Abateri de la verticală.</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Minimum admis pentru elementul suport.</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tencuieli exterioare maxim 2 mm/1 m şi maxim 20 mm/ </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Până la 1 mm/ 1 m şi maximum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 2 mm/1 m şi maxim 20 mm </w:t>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Abateri faţă de orizontală sau verticală a unor elemente ca intrânduri, ieşinduri, glafuri, pilaştri, muchii, brâie, cornişe,  ancadramente.</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Maximum cele admise pentru elemente.</w:t>
            </w:r>
          </w:p>
        </w:tc>
        <w:tc>
          <w:tcPr>
            <w:tcBorders>
              <w:left w:color="000000" w:space="0" w:sz="4" w:val="single"/>
              <w:bottom w:color="000000" w:space="0" w:sz="4" w:val="single"/>
            </w:tcBorders>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Până la 1 mm/1m şi maxim 8mm/element.</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Până la 1 mm/1m</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şi maxim 2 mm pe toată înălţimea  sau lungimea.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Până la 2 mm/1 m şi maximum 5 mm pe înălţimea unui etaj.</w:t>
            </w:r>
          </w:p>
        </w:tc>
      </w:tr>
      <w:tr>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Abateri faţă de raza la suprafeţe curbate.</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 se verifică.</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Până la 5 mm.</w:t>
            </w:r>
          </w:p>
        </w:tc>
        <w:tc>
          <w:tcPr>
            <w:tcBorders>
              <w:left w:color="000000" w:space="0" w:sz="4" w:val="single"/>
              <w:bottom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Până la 5 mm.</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Până la 6 mm.</w:t>
            </w:r>
          </w:p>
        </w:tc>
      </w:tr>
    </w:tbl>
    <w:p w:rsidR="00000000" w:rsidDel="00000000" w:rsidP="00000000" w:rsidRDefault="00000000" w:rsidRPr="00000000">
      <w:pPr>
        <w:ind w:firstLine="720"/>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ind w:firstLine="720"/>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Normative privind executarea lucrărilor de tencuieli </w:t>
      </w:r>
      <w:r w:rsidDel="00000000" w:rsidR="00000000" w:rsidRPr="00000000">
        <w:rPr>
          <w:rtl w:val="0"/>
        </w:rPr>
      </w:r>
    </w:p>
    <w:p w:rsidR="00000000" w:rsidDel="00000000" w:rsidP="00000000" w:rsidRDefault="00000000" w:rsidRPr="00000000">
      <w:pPr>
        <w:numPr>
          <w:ilvl w:val="0"/>
          <w:numId w:val="3"/>
        </w:numPr>
        <w:ind w:left="720" w:hanging="36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C.18/1983 Normativ privind executarea tencuielilor umede</w:t>
      </w:r>
    </w:p>
    <w:p w:rsidR="00000000" w:rsidDel="00000000" w:rsidP="00000000" w:rsidRDefault="00000000" w:rsidRPr="00000000">
      <w:pPr>
        <w:numPr>
          <w:ilvl w:val="0"/>
          <w:numId w:val="3"/>
        </w:numPr>
        <w:ind w:left="720" w:hanging="36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 17/1982 Instrucţiuni tehnice privind compoziţia şi prepararea mortarelor de zidărie şi tencuială</w:t>
      </w:r>
    </w:p>
    <w:p w:rsidR="00000000" w:rsidDel="00000000" w:rsidP="00000000" w:rsidRDefault="00000000" w:rsidRPr="00000000">
      <w:pPr>
        <w:numPr>
          <w:ilvl w:val="0"/>
          <w:numId w:val="3"/>
        </w:numPr>
        <w:ind w:left="720" w:hanging="36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C. 16/1984 Normativ pentru realizarea pe timp friguros a lucrărilor de construcţii şi a instalaţiilor aferente</w:t>
      </w:r>
    </w:p>
    <w:p w:rsidR="00000000" w:rsidDel="00000000" w:rsidP="00000000" w:rsidRDefault="00000000" w:rsidRPr="00000000">
      <w:pPr>
        <w:numPr>
          <w:ilvl w:val="0"/>
          <w:numId w:val="3"/>
        </w:numPr>
        <w:ind w:left="720" w:hanging="36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Ordin MLPAT nr. 9/N/93 Regulament privind protecţia şi igiena muncii în construcţii</w:t>
      </w:r>
    </w:p>
    <w:p w:rsidR="00000000" w:rsidDel="00000000" w:rsidP="00000000" w:rsidRDefault="00000000" w:rsidRPr="00000000">
      <w:pPr>
        <w:numPr>
          <w:ilvl w:val="0"/>
          <w:numId w:val="3"/>
        </w:numPr>
        <w:ind w:left="720" w:hanging="36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STAS 146/1980 Var pentru construcţii</w:t>
      </w:r>
    </w:p>
    <w:p w:rsidR="00000000" w:rsidDel="00000000" w:rsidP="00000000" w:rsidRDefault="00000000" w:rsidRPr="00000000">
      <w:pPr>
        <w:numPr>
          <w:ilvl w:val="0"/>
          <w:numId w:val="3"/>
        </w:numPr>
        <w:ind w:left="720" w:hanging="360"/>
        <w:contextualSpacing w:val="0"/>
        <w:jc w:val="both"/>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STAS 1667/1976 Agregate naturale grele pentru betoane şi mortare.</w:t>
      </w:r>
    </w:p>
    <w:p w:rsidR="00000000" w:rsidDel="00000000" w:rsidP="00000000" w:rsidRDefault="00000000" w:rsidRPr="00000000">
      <w:pPr>
        <w:ind w:left="720" w:firstLine="0"/>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Întocmit,</w:t>
      </w:r>
    </w:p>
    <w:p w:rsidR="00000000" w:rsidDel="00000000" w:rsidP="00000000" w:rsidRDefault="00000000" w:rsidRPr="00000000">
      <w:pPr>
        <w:tabs>
          <w:tab w:val="left" w:pos="5812"/>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arh. F. Ciobănașu</w:t>
      </w:r>
    </w:p>
    <w:p w:rsidR="00000000" w:rsidDel="00000000" w:rsidP="00000000" w:rsidRDefault="00000000" w:rsidRPr="00000000">
      <w:pPr>
        <w:tabs>
          <w:tab w:val="left" w:pos="6946"/>
        </w:tabs>
        <w:contextualSpacing w:val="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sectPr>
      <w:pgSz w:h="16838" w:w="11906"/>
      <w:pgMar w:bottom="1134" w:top="1134"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0"/>
      <w:numFmt w:val="bullet"/>
      <w:lvlText w:val="-"/>
      <w:lvlJc w:val="left"/>
      <w:pPr>
        <w:ind w:left="1869" w:hanging="735"/>
      </w:pPr>
      <w:rPr>
        <w:rFonts w:ascii="Arial" w:cs="Arial" w:eastAsia="Arial" w:hAnsi="Arial"/>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0"/>
      <w:numFmt w:val="bullet"/>
      <w:lvlText w:val="-"/>
      <w:lvlJc w:val="left"/>
      <w:pPr>
        <w:ind w:left="1869" w:hanging="735"/>
      </w:pPr>
      <w:rPr>
        <w:rFonts w:ascii="Arial" w:cs="Arial" w:eastAsia="Arial" w:hAnsi="Arial"/>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vertAlign w:val="baseline"/>
    </w:rPr>
  </w:style>
  <w:style w:type="paragraph" w:styleId="Heading2">
    <w:name w:val="heading 2"/>
    <w:basedOn w:val="Normal"/>
    <w:next w:val="Normal"/>
    <w:pPr>
      <w:keepNext w:val="1"/>
      <w:tabs>
        <w:tab w:val="left" w:pos="6946"/>
      </w:tabs>
      <w:jc w:val="center"/>
    </w:pPr>
    <w:rPr>
      <w:sz w:val="32"/>
      <w:szCs w:val="32"/>
      <w:vertAlign w:val="baseline"/>
    </w:rPr>
  </w:style>
  <w:style w:type="paragraph" w:styleId="Heading3">
    <w:name w:val="heading 3"/>
    <w:basedOn w:val="Normal"/>
    <w:next w:val="Normal"/>
    <w:pPr>
      <w:keepNext w:val="1"/>
      <w:tabs>
        <w:tab w:val="left" w:pos="6946"/>
      </w:tabs>
      <w:ind w:firstLine="567"/>
      <w:jc w:val="both"/>
    </w:pPr>
    <w:rPr>
      <w:sz w:val="28"/>
      <w:szCs w:val="28"/>
      <w:vertAlign w:val="baseline"/>
    </w:rPr>
  </w:style>
  <w:style w:type="paragraph" w:styleId="Heading4">
    <w:name w:val="heading 4"/>
    <w:basedOn w:val="Normal"/>
    <w:next w:val="Normal"/>
    <w:pPr>
      <w:keepNext w:val="1"/>
      <w:tabs>
        <w:tab w:val="left" w:pos="6946"/>
      </w:tabs>
      <w:ind w:firstLine="567"/>
      <w:jc w:val="both"/>
    </w:pPr>
    <w:rPr>
      <w:i w:val="1"/>
      <w:sz w:val="28"/>
      <w:szCs w:val="28"/>
      <w:vertAlign w:val="baseline"/>
    </w:rPr>
  </w:style>
  <w:style w:type="paragraph" w:styleId="Heading5">
    <w:name w:val="heading 5"/>
    <w:basedOn w:val="Normal"/>
    <w:next w:val="Normal"/>
    <w:pPr>
      <w:keepNext w:val="1"/>
      <w:tabs>
        <w:tab w:val="left" w:pos="6946"/>
      </w:tabs>
      <w:ind w:firstLine="567"/>
      <w:jc w:val="both"/>
    </w:pPr>
    <w:rPr>
      <w:b w:val="1"/>
      <w:sz w:val="28"/>
      <w:szCs w:val="28"/>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it-IT"/>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36"/>
      <w:effect w:val="none"/>
      <w:vertAlign w:val="baseline"/>
      <w:cs w:val="0"/>
      <w:em w:val="none"/>
      <w:lang w:bidi="ar-SA" w:eastAsia="en-US" w:val="it-IT"/>
    </w:rPr>
  </w:style>
  <w:style w:type="paragraph" w:styleId="Heading2">
    <w:name w:val="Heading 2"/>
    <w:basedOn w:val="Normal"/>
    <w:next w:val="Normal"/>
    <w:autoRedefine w:val="0"/>
    <w:hidden w:val="0"/>
    <w:qFormat w:val="0"/>
    <w:pPr>
      <w:keepNext w:val="1"/>
      <w:tabs>
        <w:tab w:val="left" w:leader="none" w:pos="6946"/>
      </w:tabs>
      <w:suppressAutoHyphens w:val="1"/>
      <w:spacing w:line="1" w:lineRule="atLeast"/>
      <w:ind w:leftChars="-1" w:rightChars="0" w:firstLineChars="-1"/>
      <w:jc w:val="center"/>
      <w:textDirection w:val="btLr"/>
      <w:textAlignment w:val="top"/>
      <w:outlineLvl w:val="1"/>
    </w:pPr>
    <w:rPr>
      <w:w w:val="100"/>
      <w:position w:val="-1"/>
      <w:sz w:val="32"/>
      <w:effect w:val="none"/>
      <w:vertAlign w:val="baseline"/>
      <w:cs w:val="0"/>
      <w:em w:val="none"/>
      <w:lang w:bidi="ar-SA" w:eastAsia="en-US" w:val="it-IT"/>
    </w:rPr>
  </w:style>
  <w:style w:type="paragraph" w:styleId="Heading3">
    <w:name w:val="Heading 3"/>
    <w:basedOn w:val="Normal"/>
    <w:next w:val="Normal"/>
    <w:autoRedefine w:val="0"/>
    <w:hidden w:val="0"/>
    <w:qFormat w:val="0"/>
    <w:pPr>
      <w:keepNext w:val="1"/>
      <w:tabs>
        <w:tab w:val="left" w:leader="none" w:pos="6946"/>
      </w:tabs>
      <w:suppressAutoHyphens w:val="1"/>
      <w:spacing w:line="1" w:lineRule="atLeast"/>
      <w:ind w:leftChars="-1" w:rightChars="0" w:firstLine="567" w:firstLineChars="-1"/>
      <w:jc w:val="both"/>
      <w:textDirection w:val="btLr"/>
      <w:textAlignment w:val="top"/>
      <w:outlineLvl w:val="2"/>
    </w:pPr>
    <w:rPr>
      <w:w w:val="100"/>
      <w:position w:val="-1"/>
      <w:sz w:val="28"/>
      <w:effect w:val="none"/>
      <w:vertAlign w:val="baseline"/>
      <w:cs w:val="0"/>
      <w:em w:val="none"/>
      <w:lang w:bidi="ar-SA" w:eastAsia="en-US" w:val="it-IT"/>
    </w:rPr>
  </w:style>
  <w:style w:type="paragraph" w:styleId="Heading4">
    <w:name w:val="Heading 4"/>
    <w:basedOn w:val="Normal"/>
    <w:next w:val="Normal"/>
    <w:autoRedefine w:val="0"/>
    <w:hidden w:val="0"/>
    <w:qFormat w:val="0"/>
    <w:pPr>
      <w:keepNext w:val="1"/>
      <w:tabs>
        <w:tab w:val="left" w:leader="none" w:pos="6946"/>
      </w:tabs>
      <w:suppressAutoHyphens w:val="1"/>
      <w:spacing w:line="1" w:lineRule="atLeast"/>
      <w:ind w:leftChars="-1" w:rightChars="0" w:firstLine="567" w:firstLineChars="-1"/>
      <w:jc w:val="both"/>
      <w:textDirection w:val="btLr"/>
      <w:textAlignment w:val="top"/>
      <w:outlineLvl w:val="3"/>
    </w:pPr>
    <w:rPr>
      <w:i w:val="1"/>
      <w:w w:val="100"/>
      <w:position w:val="-1"/>
      <w:sz w:val="28"/>
      <w:effect w:val="none"/>
      <w:vertAlign w:val="baseline"/>
      <w:cs w:val="0"/>
      <w:em w:val="none"/>
      <w:lang w:bidi="ar-SA" w:eastAsia="en-US" w:val="it-IT"/>
    </w:rPr>
  </w:style>
  <w:style w:type="paragraph" w:styleId="Heading5">
    <w:name w:val="Heading 5"/>
    <w:basedOn w:val="Normal"/>
    <w:next w:val="Normal"/>
    <w:autoRedefine w:val="0"/>
    <w:hidden w:val="0"/>
    <w:qFormat w:val="0"/>
    <w:pPr>
      <w:keepNext w:val="1"/>
      <w:tabs>
        <w:tab w:val="left" w:leader="none" w:pos="6946"/>
      </w:tabs>
      <w:suppressAutoHyphens w:val="1"/>
      <w:spacing w:line="1" w:lineRule="atLeast"/>
      <w:ind w:leftChars="-1" w:rightChars="0" w:firstLine="567" w:firstLineChars="-1"/>
      <w:jc w:val="both"/>
      <w:textDirection w:val="btLr"/>
      <w:textAlignment w:val="top"/>
      <w:outlineLvl w:val="4"/>
    </w:pPr>
    <w:rPr>
      <w:b w:val="1"/>
      <w:w w:val="100"/>
      <w:position w:val="-1"/>
      <w:sz w:val="28"/>
      <w:u w:val="single"/>
      <w:effect w:val="none"/>
      <w:vertAlign w:val="baseline"/>
      <w:cs w:val="0"/>
      <w:em w:val="none"/>
      <w:lang w:bidi="ar-SA" w:eastAsia="en-US" w:val="it-IT"/>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Bullet">
    <w:name w:val="List Bullet"/>
    <w:basedOn w:val="Normal"/>
    <w:next w:val="ListBullet"/>
    <w:autoRedefine w:val="0"/>
    <w:hidden w:val="0"/>
    <w:qFormat w:val="0"/>
    <w:pPr>
      <w:numPr>
        <w:ilvl w:val="10"/>
        <w:numId w:val="2047"/>
      </w:numPr>
      <w:suppressAutoHyphens w:val="1"/>
      <w:spacing w:line="1" w:lineRule="atLeast"/>
      <w:ind w:left="283" w:leftChars="-1" w:rightChars="0" w:hanging="283" w:firstLineChars="-1"/>
      <w:textDirection w:val="btLr"/>
      <w:textAlignment w:val="top"/>
      <w:outlineLvl w:val="0"/>
    </w:pPr>
    <w:rPr>
      <w:w w:val="100"/>
      <w:position w:val="-1"/>
      <w:effect w:val="none"/>
      <w:vertAlign w:val="baseline"/>
      <w:cs w:val="0"/>
      <w:em w:val="none"/>
      <w:lang w:bidi="ar-SA" w:eastAsia="en-US" w:val="it-IT"/>
    </w:rPr>
  </w:style>
  <w:style w:type="paragraph" w:styleId="BodyTextIndent">
    <w:name w:val="Body Text Indent"/>
    <w:basedOn w:val="Normal"/>
    <w:next w:val="BodyTextIndent"/>
    <w:autoRedefine w:val="0"/>
    <w:hidden w:val="0"/>
    <w:qFormat w:val="0"/>
    <w:pPr>
      <w:suppressAutoHyphens w:val="1"/>
      <w:spacing w:line="1" w:lineRule="atLeast"/>
      <w:ind w:left="6168" w:leftChars="-1" w:rightChars="0" w:firstLineChars="-1"/>
      <w:jc w:val="both"/>
      <w:textDirection w:val="btLr"/>
      <w:textAlignment w:val="top"/>
      <w:outlineLvl w:val="0"/>
    </w:pPr>
    <w:rPr>
      <w:w w:val="100"/>
      <w:position w:val="-1"/>
      <w:sz w:val="32"/>
      <w:effect w:val="none"/>
      <w:vertAlign w:val="baseline"/>
      <w:cs w:val="0"/>
      <w:em w:val="none"/>
      <w:lang w:bidi="ar-SA" w:eastAsia="en-US" w:val="it-IT"/>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effect w:val="none"/>
      <w:vertAlign w:val="baseline"/>
      <w:cs w:val="0"/>
      <w:em w:val="none"/>
      <w:lang w:bidi="ar-SA" w:eastAsia="en-US" w:val="it-IT"/>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BodyText"/>
    <w:autoRedefine w:val="0"/>
    <w:hidden w:val="0"/>
    <w:qFormat w:val="0"/>
    <w:pPr>
      <w:widowControl w:val="0"/>
      <w:suppressAutoHyphens w:val="0"/>
      <w:spacing w:line="1" w:lineRule="atLeast"/>
      <w:ind w:leftChars="-1" w:rightChars="0" w:firstLineChars="-1"/>
      <w:jc w:val="center"/>
      <w:textDirection w:val="btLr"/>
      <w:textAlignment w:val="top"/>
      <w:outlineLvl w:val="0"/>
    </w:pPr>
    <w:rPr>
      <w:b w:val="1"/>
      <w:w w:val="100"/>
      <w:position w:val="-1"/>
      <w:sz w:val="28"/>
      <w:szCs w:val="24"/>
      <w:effect w:val="none"/>
      <w:vertAlign w:val="baseline"/>
      <w:cs w:val="0"/>
      <w:em w:val="none"/>
      <w:lang w:bidi="ar-SA" w:eastAsia="und" w:val="ro-RO"/>
    </w:rPr>
  </w:style>
  <w:style w:type="paragraph" w:styleId="Title">
    <w:name w:val="Title"/>
    <w:basedOn w:val="Normal"/>
    <w:next w:val="Subtitle"/>
    <w:autoRedefine w:val="0"/>
    <w:hidden w:val="0"/>
    <w:qFormat w:val="0"/>
    <w:pPr>
      <w:widowControl w:val="0"/>
      <w:suppressAutoHyphens w:val="0"/>
      <w:spacing w:line="1" w:lineRule="atLeast"/>
      <w:ind w:leftChars="-1" w:rightChars="0" w:firstLineChars="-1"/>
      <w:jc w:val="center"/>
      <w:textDirection w:val="btLr"/>
      <w:textAlignment w:val="top"/>
      <w:outlineLvl w:val="0"/>
    </w:pPr>
    <w:rPr>
      <w:b w:val="1"/>
      <w:w w:val="100"/>
      <w:position w:val="-1"/>
      <w:sz w:val="24"/>
      <w:szCs w:val="24"/>
      <w:effect w:val="none"/>
      <w:vertAlign w:val="baseline"/>
      <w:cs w:val="0"/>
      <w:em w:val="none"/>
      <w:lang w:bidi="ar-SA" w:eastAsia="und" w:val="ro-RO"/>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ar-SA" w:val="en-US"/>
    </w:rPr>
  </w:style>
  <w:style w:type="paragraph" w:styleId="5.08">
    <w:name w:val="5.08"/>
    <w:basedOn w:val="Normal"/>
    <w:next w:val="5.08"/>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0"/>
      <w:spacing w:line="1" w:lineRule="atLeast"/>
      <w:ind w:left="3600" w:leftChars="-1" w:rightChars="0" w:hanging="720" w:firstLineChars="-1"/>
      <w:jc w:val="both"/>
      <w:textDirection w:val="btLr"/>
      <w:textAlignment w:val="baseline"/>
      <w:outlineLvl w:val="0"/>
    </w:pPr>
    <w:rPr>
      <w:rFonts w:ascii="Tms Rmn" w:eastAsia="Lucida Sans Unicode" w:hAnsi="Tms Rmn"/>
      <w:w w:val="100"/>
      <w:kern w:val="1"/>
      <w:position w:val="-1"/>
      <w:sz w:val="24"/>
      <w:szCs w:val="24"/>
      <w:effect w:val="none"/>
      <w:vertAlign w:val="baseline"/>
      <w:cs w:val="0"/>
      <w:em w:val="none"/>
      <w:lang w:bidi="ar-SA" w:eastAsia="ar-SA" w:val="en-US"/>
    </w:rPr>
  </w:style>
  <w:style w:type="paragraph" w:styleId="5.08-1.27">
    <w:name w:val="5.08-1.27"/>
    <w:basedOn w:val="5.08"/>
    <w:next w:val="5.08-1.27"/>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0"/>
      <w:spacing w:line="1" w:lineRule="atLeast"/>
      <w:ind w:left="2881" w:leftChars="-1" w:rightChars="0" w:hanging="720" w:firstLineChars="-1"/>
      <w:jc w:val="both"/>
      <w:textDirection w:val="btLr"/>
      <w:textAlignment w:val="baseline"/>
      <w:outlineLvl w:val="0"/>
    </w:pPr>
    <w:rPr>
      <w:rFonts w:ascii="Tms Rmn" w:eastAsia="Lucida Sans Unicode" w:hAnsi="Tms Rmn"/>
      <w:w w:val="100"/>
      <w:kern w:val="1"/>
      <w:position w:val="-1"/>
      <w:sz w:val="24"/>
      <w:szCs w:val="24"/>
      <w:effect w:val="none"/>
      <w:vertAlign w:val="baseline"/>
      <w:cs w:val="0"/>
      <w:em w:val="none"/>
      <w:lang w:bidi="ar-SA" w:eastAsia="ar-SA" w:val="en-US"/>
    </w:rPr>
  </w:style>
  <w:style w:type="paragraph" w:styleId="381-381">
    <w:name w:val="381-381"/>
    <w:basedOn w:val="Normal"/>
    <w:next w:val="381-381"/>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0"/>
      <w:spacing w:line="1" w:lineRule="atLeast"/>
      <w:ind w:left="2161" w:leftChars="-1" w:rightChars="0" w:hanging="2161" w:firstLineChars="-1"/>
      <w:jc w:val="both"/>
      <w:textDirection w:val="btLr"/>
      <w:textAlignment w:val="baseline"/>
      <w:outlineLvl w:val="0"/>
    </w:pPr>
    <w:rPr>
      <w:rFonts w:ascii="Tms Rmn" w:eastAsia="Lucida Sans Unicode" w:hAnsi="Tms Rmn"/>
      <w:w w:val="100"/>
      <w:kern w:val="1"/>
      <w:position w:val="-1"/>
      <w:sz w:val="24"/>
      <w:szCs w:val="24"/>
      <w:effect w:val="none"/>
      <w:vertAlign w:val="baseline"/>
      <w:cs w:val="0"/>
      <w:em w:val="none"/>
      <w:lang w:bidi="ar-SA" w:eastAsia="ar-SA" w:val="en-US"/>
    </w:rPr>
  </w:style>
  <w:style w:type="paragraph" w:styleId="381">
    <w:name w:val="381"/>
    <w:basedOn w:val="Normal"/>
    <w:next w:val="381"/>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0"/>
      <w:spacing w:line="1" w:lineRule="atLeast"/>
      <w:ind w:left="2161" w:leftChars="-1" w:rightChars="0" w:firstLineChars="-1"/>
      <w:textDirection w:val="btLr"/>
      <w:textAlignment w:val="baseline"/>
      <w:outlineLvl w:val="0"/>
    </w:pPr>
    <w:rPr>
      <w:rFonts w:ascii="Tms Rmn" w:eastAsia="Lucida Sans Unicode" w:hAnsi="Tms Rmn"/>
      <w:w w:val="100"/>
      <w:kern w:val="1"/>
      <w:position w:val="-1"/>
      <w:sz w:val="24"/>
      <w:szCs w:val="24"/>
      <w:effect w:val="none"/>
      <w:vertAlign w:val="baseline"/>
      <w:cs w:val="0"/>
      <w:em w:val="none"/>
      <w:lang w:bidi="ar-SA" w:eastAsia="ar-SA"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effect w:val="none"/>
      <w:vertAlign w:val="baseline"/>
      <w:cs w:val="0"/>
      <w:em w:val="none"/>
      <w:lang w:bidi="ar-SA" w:eastAsia="en-US" w:val="it-IT"/>
    </w:rPr>
  </w:style>
  <w:style w:type="character" w:styleId="BodyText2Char">
    <w:name w:val="Body Text 2 Char"/>
    <w:next w:val="BodyText2Char"/>
    <w:autoRedefine w:val="0"/>
    <w:hidden w:val="0"/>
    <w:qFormat w:val="0"/>
    <w:rPr>
      <w:w w:val="100"/>
      <w:position w:val="-1"/>
      <w:effect w:val="none"/>
      <w:vertAlign w:val="baseline"/>
      <w:cs w:val="0"/>
      <w:em w:val="none"/>
      <w:lang w:eastAsia="en-US" w:val="it-IT"/>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en-US" w:val="it-IT"/>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widowControl w:val="0"/>
      <w:jc w:val="center"/>
    </w:pPr>
    <w:rPr>
      <w:b w:val="1"/>
      <w:sz w:val="28"/>
      <w:szCs w:val="28"/>
      <w:vertAlign w:val="baseline"/>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