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52" w:rsidRDefault="001E3C52" w:rsidP="001E3C52">
      <w:pPr>
        <w:rPr>
          <w:rFonts w:ascii="Comic Sans MS" w:hAnsi="Comic Sans MS" w:cs="Arial"/>
          <w:b/>
          <w:sz w:val="36"/>
          <w:szCs w:val="36"/>
        </w:rPr>
      </w:pPr>
      <w:proofErr w:type="spellStart"/>
      <w:r w:rsidRPr="008A0A1B">
        <w:rPr>
          <w:rFonts w:ascii="Arial Narrow" w:hAnsi="Arial Narrow" w:cs="Arial"/>
          <w:b/>
          <w:szCs w:val="28"/>
        </w:rPr>
        <w:t>Anexa</w:t>
      </w:r>
      <w:proofErr w:type="spellEnd"/>
      <w:r w:rsidRPr="008A0A1B">
        <w:rPr>
          <w:rFonts w:ascii="Arial Narrow" w:hAnsi="Arial Narrow" w:cs="Arial"/>
          <w:b/>
          <w:szCs w:val="28"/>
        </w:rPr>
        <w:t xml:space="preserve"> 19</w:t>
      </w:r>
    </w:p>
    <w:p w:rsidR="001E3C52" w:rsidRDefault="001E3C52" w:rsidP="001E3C52">
      <w:pPr>
        <w:rPr>
          <w:rFonts w:ascii="Comic Sans MS" w:hAnsi="Comic Sans MS" w:cs="Arial"/>
          <w:b/>
          <w:sz w:val="36"/>
          <w:szCs w:val="36"/>
        </w:rPr>
      </w:pPr>
    </w:p>
    <w:p w:rsidR="001E3C52" w:rsidRPr="006D453B" w:rsidRDefault="001E3C52" w:rsidP="001E3C52">
      <w:pPr>
        <w:jc w:val="center"/>
        <w:rPr>
          <w:rFonts w:ascii="Arial" w:hAnsi="Arial" w:cs="Arial"/>
          <w:b/>
          <w:sz w:val="24"/>
          <w:szCs w:val="24"/>
        </w:rPr>
      </w:pPr>
      <w:r w:rsidRPr="006D453B">
        <w:rPr>
          <w:rFonts w:ascii="Arial" w:hAnsi="Arial" w:cs="Arial"/>
          <w:b/>
          <w:sz w:val="24"/>
          <w:szCs w:val="24"/>
        </w:rPr>
        <w:t>INFO</w:t>
      </w:r>
    </w:p>
    <w:p w:rsidR="001E3C52" w:rsidRPr="006D453B" w:rsidRDefault="001E3C52" w:rsidP="001E3C52">
      <w:pPr>
        <w:rPr>
          <w:rFonts w:ascii="Arial" w:hAnsi="Arial" w:cs="Arial"/>
          <w:b/>
          <w:sz w:val="24"/>
          <w:szCs w:val="24"/>
        </w:rPr>
      </w:pPr>
    </w:p>
    <w:p w:rsidR="001E3C52" w:rsidRPr="006D453B" w:rsidRDefault="001E3C52" w:rsidP="001E3C52">
      <w:pPr>
        <w:rPr>
          <w:rFonts w:ascii="Arial" w:hAnsi="Arial" w:cs="Arial"/>
          <w:b/>
          <w:sz w:val="24"/>
          <w:szCs w:val="24"/>
          <w:lang w:val="ro-RO"/>
        </w:rPr>
      </w:pPr>
      <w:r w:rsidRPr="006D453B">
        <w:rPr>
          <w:rFonts w:ascii="Arial" w:hAnsi="Arial" w:cs="Arial"/>
          <w:b/>
          <w:sz w:val="24"/>
          <w:szCs w:val="24"/>
        </w:rPr>
        <w:t>MOBI</w:t>
      </w:r>
      <w:r w:rsidRPr="006D453B">
        <w:rPr>
          <w:rFonts w:ascii="Arial" w:hAnsi="Arial" w:cs="Arial"/>
          <w:b/>
          <w:sz w:val="24"/>
          <w:szCs w:val="24"/>
          <w:lang w:val="ro-RO"/>
        </w:rPr>
        <w:t>LITĂȚI ERASMUS+ CU ȚĂRILE PARTENERE</w:t>
      </w:r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5 instrumente privind mobilitățile:</w:t>
      </w:r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ro-RO"/>
        </w:rPr>
      </w:pPr>
    </w:p>
    <w:p w:rsidR="001E3C52" w:rsidRPr="006D453B" w:rsidRDefault="001E3C52" w:rsidP="001E3C52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ro-RO"/>
        </w:rPr>
      </w:pP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DCI – </w:t>
      </w:r>
      <w:proofErr w:type="spellStart"/>
      <w:r w:rsidRPr="006D453B">
        <w:rPr>
          <w:rFonts w:ascii="Arial" w:hAnsi="Arial" w:cs="Arial"/>
          <w:b/>
          <w:sz w:val="24"/>
          <w:szCs w:val="24"/>
          <w:lang w:val="ro-RO"/>
        </w:rPr>
        <w:t>Development</w:t>
      </w:r>
      <w:proofErr w:type="spellEnd"/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 Cooperation Instrument:</w:t>
      </w:r>
    </w:p>
    <w:p w:rsidR="001E3C52" w:rsidRPr="006D453B" w:rsidRDefault="001E3C52" w:rsidP="001E3C5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DCI Asia (</w:t>
      </w:r>
      <w:r w:rsidRPr="006D453B">
        <w:rPr>
          <w:rFonts w:ascii="Arial" w:hAnsi="Arial" w:cs="Arial"/>
          <w:b/>
          <w:color w:val="FF0000"/>
          <w:sz w:val="24"/>
          <w:szCs w:val="24"/>
          <w:lang w:val="ro-RO"/>
        </w:rPr>
        <w:t>Regiunea 6</w:t>
      </w: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Pr="006D453B">
        <w:rPr>
          <w:rFonts w:ascii="Arial" w:hAnsi="Arial" w:cs="Arial"/>
          <w:sz w:val="24"/>
          <w:szCs w:val="24"/>
          <w:lang w:val="ro-RO"/>
        </w:rPr>
        <w:t xml:space="preserve">Afganistan, Bangladesh, Bhutan,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Cambodia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, China, DPR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Korea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, India,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Indonesia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, Laos, Malaysia,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Maldives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, Mongolia, Myanmar, Nepal, Pakistan,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Phillippines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Sru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 Lanka, Thailanda, Vietnam);</w:t>
      </w:r>
    </w:p>
    <w:p w:rsidR="001E3C52" w:rsidRPr="006D453B" w:rsidRDefault="001E3C52" w:rsidP="001E3C5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DCI Asia Centrală (</w:t>
      </w:r>
      <w:r w:rsidRPr="006D453B">
        <w:rPr>
          <w:rFonts w:ascii="Arial" w:hAnsi="Arial" w:cs="Arial"/>
          <w:b/>
          <w:color w:val="FF0000"/>
          <w:sz w:val="24"/>
          <w:szCs w:val="24"/>
          <w:lang w:val="ro-RO"/>
        </w:rPr>
        <w:t>Regiunea 7</w:t>
      </w: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: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Kazakstan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Kyrgyzstan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Tajikistan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>, Turkmenistan, Uzbekistan);</w:t>
      </w:r>
    </w:p>
    <w:p w:rsidR="001E3C52" w:rsidRPr="006D453B" w:rsidRDefault="001E3C52" w:rsidP="001E3C5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DCI America Latină (</w:t>
      </w:r>
      <w:r w:rsidRPr="006D453B">
        <w:rPr>
          <w:rFonts w:ascii="Arial" w:hAnsi="Arial" w:cs="Arial"/>
          <w:b/>
          <w:color w:val="FF0000"/>
          <w:sz w:val="24"/>
          <w:szCs w:val="24"/>
          <w:lang w:val="ro-RO"/>
        </w:rPr>
        <w:t>Regiunea 8</w:t>
      </w: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Pr="006D453B">
        <w:rPr>
          <w:rFonts w:ascii="Arial" w:hAnsi="Arial" w:cs="Arial"/>
          <w:sz w:val="24"/>
          <w:szCs w:val="24"/>
          <w:lang w:val="ro-RO"/>
        </w:rPr>
        <w:t xml:space="preserve">Argentina, Bolivia, Brazilia, Chile,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Colombia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>, Costa Rica, Cuba, Ecuador, El Salvador, Guatemala, Honduras, Mexic, Nicaragua, Panama, Paraguay, Peru, Uruguay, Venezuela);</w:t>
      </w:r>
    </w:p>
    <w:p w:rsidR="001E3C52" w:rsidRPr="006D453B" w:rsidRDefault="001E3C52" w:rsidP="001E3C5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DCI Africa de Sud (</w:t>
      </w:r>
      <w:r w:rsidRPr="006D453B">
        <w:rPr>
          <w:rFonts w:ascii="Arial" w:hAnsi="Arial" w:cs="Arial"/>
          <w:b/>
          <w:color w:val="FF0000"/>
          <w:sz w:val="24"/>
          <w:szCs w:val="24"/>
          <w:lang w:val="ro-RO"/>
        </w:rPr>
        <w:t>Regiunea 10</w:t>
      </w: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Pr="006D453B">
        <w:rPr>
          <w:rFonts w:ascii="Arial" w:hAnsi="Arial" w:cs="Arial"/>
          <w:sz w:val="24"/>
          <w:szCs w:val="24"/>
          <w:lang w:val="ro-RO"/>
        </w:rPr>
        <w:t>Africa de Sud).</w:t>
      </w:r>
    </w:p>
    <w:p w:rsidR="001E3C52" w:rsidRPr="006D453B" w:rsidRDefault="001E3C52" w:rsidP="001E3C5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DCI Orientul Mijlociu:</w:t>
      </w:r>
      <w:r w:rsidRPr="006D453B">
        <w:rPr>
          <w:rFonts w:ascii="Arial" w:hAnsi="Arial" w:cs="Arial"/>
          <w:b/>
          <w:color w:val="FF0000"/>
          <w:sz w:val="24"/>
          <w:szCs w:val="24"/>
          <w:lang w:val="ro-RO"/>
        </w:rPr>
        <w:t xml:space="preserve"> Regiunea 9</w:t>
      </w:r>
      <w:r w:rsidRPr="006D453B">
        <w:rPr>
          <w:rFonts w:ascii="Arial" w:hAnsi="Arial" w:cs="Arial"/>
          <w:sz w:val="24"/>
          <w:szCs w:val="24"/>
          <w:lang w:val="ro-RO"/>
        </w:rPr>
        <w:t xml:space="preserve">: Iran,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Iraq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>, Yemen</w:t>
      </w:r>
    </w:p>
    <w:p w:rsidR="001E3C52" w:rsidRPr="006D453B" w:rsidRDefault="001E3C52" w:rsidP="001E3C52">
      <w:pPr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  <w:lang w:val="ro-RO"/>
        </w:rPr>
      </w:pPr>
      <w:r w:rsidRPr="006D453B">
        <w:rPr>
          <w:rFonts w:ascii="Arial" w:hAnsi="Arial" w:cs="Arial"/>
          <w:color w:val="FF0000"/>
          <w:sz w:val="24"/>
          <w:szCs w:val="24"/>
          <w:lang w:val="ro-RO"/>
        </w:rPr>
        <w:t xml:space="preserve">Mobilitatea </w:t>
      </w:r>
      <w:proofErr w:type="spellStart"/>
      <w:r w:rsidRPr="006D453B">
        <w:rPr>
          <w:rFonts w:ascii="Arial" w:hAnsi="Arial" w:cs="Arial"/>
          <w:color w:val="FF0000"/>
          <w:sz w:val="24"/>
          <w:szCs w:val="24"/>
          <w:lang w:val="ro-RO"/>
        </w:rPr>
        <w:t>outgoing</w:t>
      </w:r>
      <w:proofErr w:type="spellEnd"/>
      <w:r w:rsidRPr="006D453B">
        <w:rPr>
          <w:rFonts w:ascii="Arial" w:hAnsi="Arial" w:cs="Arial"/>
          <w:color w:val="FF0000"/>
          <w:sz w:val="24"/>
          <w:szCs w:val="24"/>
          <w:lang w:val="ro-RO"/>
        </w:rPr>
        <w:t xml:space="preserve"> pentru studenți era limitată doar la ciclul doctoral.</w:t>
      </w:r>
    </w:p>
    <w:p w:rsidR="001E3C52" w:rsidRPr="006D453B" w:rsidRDefault="001E3C52" w:rsidP="001E3C52">
      <w:pPr>
        <w:pStyle w:val="HTMLPreformatted"/>
        <w:shd w:val="clear" w:color="auto" w:fill="FFFFFF"/>
        <w:ind w:left="1080"/>
        <w:rPr>
          <w:rFonts w:ascii="Arial" w:hAnsi="Arial" w:cs="Arial"/>
          <w:color w:val="000000"/>
          <w:sz w:val="24"/>
          <w:szCs w:val="24"/>
        </w:rPr>
      </w:pPr>
    </w:p>
    <w:p w:rsidR="001E3C52" w:rsidRPr="006D453B" w:rsidRDefault="001E3C52" w:rsidP="001E3C52">
      <w:pPr>
        <w:pStyle w:val="HTMLPreformatted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EDF - </w:t>
      </w:r>
      <w:r w:rsidRPr="006D453B">
        <w:rPr>
          <w:rFonts w:ascii="Arial" w:hAnsi="Arial" w:cs="Arial"/>
          <w:b/>
          <w:color w:val="000000"/>
          <w:sz w:val="24"/>
          <w:szCs w:val="24"/>
        </w:rPr>
        <w:t>European Development Fund</w:t>
      </w:r>
    </w:p>
    <w:p w:rsidR="001E3C52" w:rsidRPr="006D453B" w:rsidRDefault="001E3C52" w:rsidP="001E3C52">
      <w:pPr>
        <w:pStyle w:val="HTMLPreformatted"/>
        <w:shd w:val="clear" w:color="auto" w:fill="FFFFFF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6D453B">
        <w:rPr>
          <w:rFonts w:ascii="Arial" w:hAnsi="Arial" w:cs="Arial"/>
          <w:sz w:val="24"/>
          <w:szCs w:val="24"/>
          <w:lang w:val="ro-RO"/>
        </w:rPr>
        <w:t>-</w:t>
      </w:r>
      <w:r w:rsidRPr="006D453B">
        <w:rPr>
          <w:rFonts w:ascii="Arial" w:hAnsi="Arial" w:cs="Arial"/>
          <w:color w:val="000000"/>
          <w:sz w:val="24"/>
          <w:szCs w:val="24"/>
        </w:rPr>
        <w:t xml:space="preserve">  Africa-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Caraibe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>-Pacific (</w:t>
      </w:r>
      <w:proofErr w:type="spellStart"/>
      <w:r w:rsidRPr="006D453B">
        <w:rPr>
          <w:rFonts w:ascii="Arial" w:hAnsi="Arial" w:cs="Arial"/>
          <w:b/>
          <w:color w:val="FF0000"/>
          <w:sz w:val="24"/>
          <w:szCs w:val="24"/>
        </w:rPr>
        <w:t>Regiunea</w:t>
      </w:r>
      <w:proofErr w:type="spellEnd"/>
      <w:r w:rsidRPr="006D453B">
        <w:rPr>
          <w:rFonts w:ascii="Arial" w:hAnsi="Arial" w:cs="Arial"/>
          <w:b/>
          <w:color w:val="FF0000"/>
          <w:sz w:val="24"/>
          <w:szCs w:val="24"/>
        </w:rPr>
        <w:t xml:space="preserve"> 11</w:t>
      </w:r>
      <w:r w:rsidRPr="006D453B">
        <w:rPr>
          <w:rFonts w:ascii="Arial" w:hAnsi="Arial" w:cs="Arial"/>
          <w:color w:val="000000"/>
          <w:sz w:val="24"/>
          <w:szCs w:val="24"/>
        </w:rPr>
        <w:t xml:space="preserve">: Angola, Antigua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Barbuda, Bahamas, Barbados, Belize, Benin, Botswana, Burkina Faso, Burundi,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Camerun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Capul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Verde,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Republica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Africa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Centrala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, Chad, Comoros, Congo,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Republica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Democrata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Congo,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Insulele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Cook, Djibouti, Dominica,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Republica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Dominicana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Guineea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Ecuatoriala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, Eritrea,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Etiopia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, Fiji, Gabon, Gambia, Ghana, Grenada, Guinea, Guinea-Bissau, Guyana, Haiti,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Coasta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Fildes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, Jamaica, Kenya, Kiribati, Lesotho, Liberia, Madagascar, Malawi, Mali,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Insulele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Marshall, Mauritania, Mauritius,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Statele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Federale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Micronesiei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Mozambic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, Namibia, Nauru, Niger, Nigeria, Niue, Palau, Papua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Noua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Guinee, Rwanda, Saint Kitts and Nevis, Saint Lucia, Saint Vincent and the Grenadines, Samoa, Sao Tome and Principe, Senegal,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Sychelles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, Sierra Leone,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Insulele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Solomon, Somalia,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Sudanul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Sud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, Sudan, Suriname, Swaziland,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Republica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Democrata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Timor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Leste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>, Tanzania, Togo, Tonga, Trinidad Tobago, Tuvalu, Uganda, Vanuatu, Zambia, Zimbabwe.  )</w:t>
      </w:r>
    </w:p>
    <w:p w:rsidR="001E3C52" w:rsidRPr="006D453B" w:rsidRDefault="001E3C52" w:rsidP="001E3C52">
      <w:pPr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  <w:lang w:val="ro-RO"/>
        </w:rPr>
      </w:pPr>
      <w:r w:rsidRPr="006D453B">
        <w:rPr>
          <w:rFonts w:ascii="Arial" w:hAnsi="Arial" w:cs="Arial"/>
          <w:color w:val="FF0000"/>
          <w:sz w:val="24"/>
          <w:szCs w:val="24"/>
          <w:lang w:val="ro-RO"/>
        </w:rPr>
        <w:t xml:space="preserve">Mobilitatea </w:t>
      </w:r>
      <w:proofErr w:type="spellStart"/>
      <w:r w:rsidRPr="006D453B">
        <w:rPr>
          <w:rFonts w:ascii="Arial" w:hAnsi="Arial" w:cs="Arial"/>
          <w:color w:val="FF0000"/>
          <w:sz w:val="24"/>
          <w:szCs w:val="24"/>
          <w:lang w:val="ro-RO"/>
        </w:rPr>
        <w:t>outgoing</w:t>
      </w:r>
      <w:proofErr w:type="spellEnd"/>
      <w:r w:rsidRPr="006D453B">
        <w:rPr>
          <w:rFonts w:ascii="Arial" w:hAnsi="Arial" w:cs="Arial"/>
          <w:color w:val="FF0000"/>
          <w:sz w:val="24"/>
          <w:szCs w:val="24"/>
          <w:lang w:val="ro-RO"/>
        </w:rPr>
        <w:t xml:space="preserve"> pentru studenți era limitată doar la ciclul doctoral.</w:t>
      </w:r>
    </w:p>
    <w:p w:rsidR="001E3C52" w:rsidRPr="006D453B" w:rsidRDefault="001E3C52" w:rsidP="001E3C52">
      <w:pPr>
        <w:ind w:left="1080"/>
        <w:rPr>
          <w:rFonts w:ascii="Arial" w:hAnsi="Arial" w:cs="Arial"/>
          <w:sz w:val="24"/>
          <w:szCs w:val="24"/>
          <w:lang w:val="ro-RO"/>
        </w:rPr>
      </w:pPr>
    </w:p>
    <w:p w:rsidR="001E3C52" w:rsidRPr="006D453B" w:rsidRDefault="001E3C52" w:rsidP="001E3C52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ro-RO"/>
        </w:rPr>
      </w:pP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ENI – European </w:t>
      </w:r>
      <w:proofErr w:type="spellStart"/>
      <w:r w:rsidRPr="006D453B">
        <w:rPr>
          <w:rFonts w:ascii="Arial" w:hAnsi="Arial" w:cs="Arial"/>
          <w:b/>
          <w:sz w:val="24"/>
          <w:szCs w:val="24"/>
          <w:lang w:val="ro-RO"/>
        </w:rPr>
        <w:t>Neighbourhood</w:t>
      </w:r>
      <w:proofErr w:type="spellEnd"/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 Instrument:</w:t>
      </w:r>
    </w:p>
    <w:p w:rsidR="001E3C52" w:rsidRPr="006D453B" w:rsidRDefault="001E3C52" w:rsidP="001E3C5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ENI Parteneriate Estice (</w:t>
      </w:r>
      <w:r w:rsidRPr="006D453B">
        <w:rPr>
          <w:rFonts w:ascii="Arial" w:hAnsi="Arial" w:cs="Arial"/>
          <w:b/>
          <w:color w:val="FF0000"/>
          <w:sz w:val="24"/>
          <w:szCs w:val="24"/>
          <w:lang w:val="ro-RO"/>
        </w:rPr>
        <w:t>Regiunea 2</w:t>
      </w: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Pr="006D453B">
        <w:rPr>
          <w:rFonts w:ascii="Arial" w:hAnsi="Arial" w:cs="Arial"/>
          <w:sz w:val="24"/>
          <w:szCs w:val="24"/>
          <w:lang w:val="ro-RO"/>
        </w:rPr>
        <w:t xml:space="preserve">Armenia,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Azerbaijan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, Belarus, Georgia, Republica Moldova, Teritoriul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Ukrainei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 recunoscut de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Legislatia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internationala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>);</w:t>
      </w:r>
    </w:p>
    <w:p w:rsidR="001E3C52" w:rsidRPr="006D453B" w:rsidRDefault="001E3C52" w:rsidP="001E3C5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ENI Sud-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mediteranean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 (</w:t>
      </w:r>
      <w:r w:rsidRPr="006D453B">
        <w:rPr>
          <w:rFonts w:ascii="Arial" w:hAnsi="Arial" w:cs="Arial"/>
          <w:b/>
          <w:color w:val="FF0000"/>
          <w:sz w:val="24"/>
          <w:szCs w:val="24"/>
          <w:lang w:val="ro-RO"/>
        </w:rPr>
        <w:t>Regiunea 3</w:t>
      </w: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Pr="006D453B">
        <w:rPr>
          <w:rFonts w:ascii="Arial" w:hAnsi="Arial" w:cs="Arial"/>
          <w:sz w:val="24"/>
          <w:szCs w:val="24"/>
          <w:lang w:val="ro-RO"/>
        </w:rPr>
        <w:t>Algeria, Egipt, Israel, Iordania, Liban, Libia, Maroc, Palestina, Siria, Tunisia);</w:t>
      </w:r>
    </w:p>
    <w:p w:rsidR="001E3C52" w:rsidRPr="006D453B" w:rsidRDefault="001E3C52" w:rsidP="001E3C5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ENI Federația Rusă (</w:t>
      </w:r>
      <w:r w:rsidRPr="006D453B">
        <w:rPr>
          <w:rFonts w:ascii="Arial" w:hAnsi="Arial" w:cs="Arial"/>
          <w:b/>
          <w:color w:val="FF0000"/>
          <w:sz w:val="24"/>
          <w:szCs w:val="24"/>
          <w:lang w:val="ro-RO"/>
        </w:rPr>
        <w:t>Regiunea 4</w:t>
      </w: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Pr="006D453B">
        <w:rPr>
          <w:rFonts w:ascii="Arial" w:hAnsi="Arial" w:cs="Arial"/>
          <w:sz w:val="24"/>
          <w:szCs w:val="24"/>
          <w:lang w:val="ro-RO"/>
        </w:rPr>
        <w:t>teritoriul Rusiei</w:t>
      </w: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6D453B">
        <w:rPr>
          <w:rFonts w:ascii="Arial" w:hAnsi="Arial" w:cs="Arial"/>
          <w:sz w:val="24"/>
          <w:szCs w:val="24"/>
          <w:lang w:val="ro-RO"/>
        </w:rPr>
        <w:t xml:space="preserve">recunoscut de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Legislatia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internationala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>).</w:t>
      </w:r>
    </w:p>
    <w:p w:rsidR="001E3C52" w:rsidRPr="006D453B" w:rsidRDefault="001E3C52" w:rsidP="001E3C52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ro-RO"/>
        </w:rPr>
      </w:pP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PI – </w:t>
      </w:r>
      <w:proofErr w:type="spellStart"/>
      <w:r w:rsidRPr="006D453B">
        <w:rPr>
          <w:rFonts w:ascii="Arial" w:hAnsi="Arial" w:cs="Arial"/>
          <w:b/>
          <w:sz w:val="24"/>
          <w:szCs w:val="24"/>
          <w:lang w:val="ro-RO"/>
        </w:rPr>
        <w:t>Partnership</w:t>
      </w:r>
      <w:proofErr w:type="spellEnd"/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 Instrument:</w:t>
      </w:r>
    </w:p>
    <w:p w:rsidR="001E3C52" w:rsidRPr="006D453B" w:rsidRDefault="001E3C52" w:rsidP="001E3C5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lastRenderedPageBreak/>
        <w:t>PI țările industrializate din America (</w:t>
      </w:r>
      <w:r w:rsidRPr="006D453B">
        <w:rPr>
          <w:rFonts w:ascii="Arial" w:hAnsi="Arial" w:cs="Arial"/>
          <w:b/>
          <w:color w:val="FF0000"/>
          <w:sz w:val="24"/>
          <w:szCs w:val="24"/>
          <w:lang w:val="ro-RO"/>
        </w:rPr>
        <w:t>Regiunea 13</w:t>
      </w:r>
      <w:r w:rsidRPr="006D453B">
        <w:rPr>
          <w:rFonts w:ascii="Arial" w:hAnsi="Arial" w:cs="Arial"/>
          <w:sz w:val="24"/>
          <w:szCs w:val="24"/>
          <w:lang w:val="ro-RO"/>
        </w:rPr>
        <w:t>: SUA, Canada);</w:t>
      </w:r>
    </w:p>
    <w:p w:rsidR="001E3C52" w:rsidRPr="006D453B" w:rsidRDefault="001E3C52" w:rsidP="001E3C5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PI țările industrializate din Asia (</w:t>
      </w:r>
      <w:proofErr w:type="spellStart"/>
      <w:r w:rsidRPr="006D453B">
        <w:rPr>
          <w:rFonts w:ascii="Arial" w:hAnsi="Arial" w:cs="Arial"/>
          <w:b/>
          <w:color w:val="FF0000"/>
          <w:sz w:val="24"/>
          <w:szCs w:val="24"/>
        </w:rPr>
        <w:t>Regiunea</w:t>
      </w:r>
      <w:proofErr w:type="spellEnd"/>
      <w:r w:rsidRPr="006D453B">
        <w:rPr>
          <w:rFonts w:ascii="Arial" w:hAnsi="Arial" w:cs="Arial"/>
          <w:b/>
          <w:color w:val="FF0000"/>
          <w:sz w:val="24"/>
          <w:szCs w:val="24"/>
        </w:rPr>
        <w:t xml:space="preserve"> 13</w:t>
      </w:r>
      <w:r w:rsidRPr="006D453B">
        <w:rPr>
          <w:rFonts w:ascii="Arial" w:hAnsi="Arial" w:cs="Arial"/>
          <w:color w:val="000000"/>
          <w:sz w:val="24"/>
          <w:szCs w:val="24"/>
        </w:rPr>
        <w:t xml:space="preserve">: Brunei, Hong Kong,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Japonia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Republica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Korea, Macao, Singapore, Taiwan, Australia,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Noua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453B">
        <w:rPr>
          <w:rFonts w:ascii="Arial" w:hAnsi="Arial" w:cs="Arial"/>
          <w:color w:val="000000"/>
          <w:sz w:val="24"/>
          <w:szCs w:val="24"/>
        </w:rPr>
        <w:t>Zeelanda</w:t>
      </w:r>
      <w:proofErr w:type="spellEnd"/>
      <w:r w:rsidRPr="006D453B">
        <w:rPr>
          <w:rFonts w:ascii="Arial" w:hAnsi="Arial" w:cs="Arial"/>
          <w:color w:val="000000"/>
          <w:sz w:val="24"/>
          <w:szCs w:val="24"/>
        </w:rPr>
        <w:t>)</w:t>
      </w:r>
      <w:r w:rsidRPr="006D453B">
        <w:rPr>
          <w:rFonts w:ascii="Arial" w:hAnsi="Arial" w:cs="Arial"/>
          <w:sz w:val="24"/>
          <w:szCs w:val="24"/>
          <w:lang w:val="ro-RO"/>
        </w:rPr>
        <w:t>;</w:t>
      </w:r>
    </w:p>
    <w:p w:rsidR="001E3C52" w:rsidRPr="006D453B" w:rsidRDefault="001E3C52" w:rsidP="001E3C5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b/>
          <w:sz w:val="24"/>
          <w:szCs w:val="24"/>
          <w:lang w:val="ro-RO"/>
        </w:rPr>
        <w:t>Regiunea 12</w:t>
      </w:r>
      <w:r w:rsidRPr="006D453B">
        <w:rPr>
          <w:rFonts w:ascii="Arial" w:hAnsi="Arial" w:cs="Arial"/>
          <w:sz w:val="24"/>
          <w:szCs w:val="24"/>
          <w:lang w:val="ro-RO"/>
        </w:rPr>
        <w:t>: Bahrain, Kuwait, Oman, Quatar, Arabia Saudita, Emiratele Arabe Unite.</w:t>
      </w:r>
    </w:p>
    <w:p w:rsidR="001E3C52" w:rsidRPr="006D453B" w:rsidRDefault="001E3C52" w:rsidP="001E3C5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PI țările industrializate din cadrul Consiliului de Cooperare al Golfului.</w:t>
      </w:r>
    </w:p>
    <w:p w:rsidR="001E3C52" w:rsidRPr="006D453B" w:rsidRDefault="001E3C52" w:rsidP="001E3C52">
      <w:pPr>
        <w:ind w:left="720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Nu există buget pentru mobilități cu țările industrializate din Golf.</w:t>
      </w:r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ro-RO"/>
        </w:rPr>
      </w:pPr>
    </w:p>
    <w:p w:rsidR="001E3C52" w:rsidRPr="006D453B" w:rsidRDefault="001E3C52" w:rsidP="001E3C52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ro-RO"/>
        </w:rPr>
      </w:pPr>
      <w:r w:rsidRPr="006D453B">
        <w:rPr>
          <w:rFonts w:ascii="Arial" w:hAnsi="Arial" w:cs="Arial"/>
          <w:b/>
          <w:sz w:val="24"/>
          <w:szCs w:val="24"/>
          <w:lang w:val="ro-RO"/>
        </w:rPr>
        <w:t>IPA – Instrument for Pre-</w:t>
      </w:r>
      <w:proofErr w:type="spellStart"/>
      <w:r w:rsidRPr="006D453B">
        <w:rPr>
          <w:rFonts w:ascii="Arial" w:hAnsi="Arial" w:cs="Arial"/>
          <w:b/>
          <w:sz w:val="24"/>
          <w:szCs w:val="24"/>
          <w:lang w:val="ro-RO"/>
        </w:rPr>
        <w:t>Accession</w:t>
      </w:r>
      <w:proofErr w:type="spellEnd"/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Pr="006D453B">
        <w:rPr>
          <w:rFonts w:ascii="Arial" w:hAnsi="Arial" w:cs="Arial"/>
          <w:b/>
          <w:sz w:val="24"/>
          <w:szCs w:val="24"/>
          <w:lang w:val="ro-RO"/>
        </w:rPr>
        <w:t>Assistance</w:t>
      </w:r>
      <w:proofErr w:type="spellEnd"/>
      <w:r w:rsidRPr="006D453B">
        <w:rPr>
          <w:rFonts w:ascii="Arial" w:hAnsi="Arial" w:cs="Arial"/>
          <w:b/>
          <w:sz w:val="24"/>
          <w:szCs w:val="24"/>
          <w:lang w:val="ro-RO"/>
        </w:rPr>
        <w:t>:</w:t>
      </w:r>
    </w:p>
    <w:p w:rsidR="001E3C52" w:rsidRPr="006D453B" w:rsidRDefault="001E3C52" w:rsidP="001E3C5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IPA Balcanii de Vest (</w:t>
      </w:r>
      <w:r w:rsidRPr="006D453B">
        <w:rPr>
          <w:rFonts w:ascii="Arial" w:hAnsi="Arial" w:cs="Arial"/>
          <w:b/>
          <w:color w:val="FF0000"/>
          <w:sz w:val="24"/>
          <w:szCs w:val="24"/>
          <w:lang w:val="ro-RO"/>
        </w:rPr>
        <w:t>Regiunea 1</w:t>
      </w: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Pr="006D453B">
        <w:rPr>
          <w:rFonts w:ascii="Arial" w:hAnsi="Arial" w:cs="Arial"/>
          <w:sz w:val="24"/>
          <w:szCs w:val="24"/>
          <w:lang w:val="ro-RO"/>
        </w:rPr>
        <w:t xml:space="preserve">Albania, Bosnia si </w:t>
      </w:r>
      <w:proofErr w:type="spellStart"/>
      <w:r w:rsidRPr="006D453B">
        <w:rPr>
          <w:rFonts w:ascii="Arial" w:hAnsi="Arial" w:cs="Arial"/>
          <w:sz w:val="24"/>
          <w:szCs w:val="24"/>
          <w:lang w:val="ro-RO"/>
        </w:rPr>
        <w:t>Hertegovina</w:t>
      </w:r>
      <w:proofErr w:type="spellEnd"/>
      <w:r w:rsidRPr="006D453B">
        <w:rPr>
          <w:rFonts w:ascii="Arial" w:hAnsi="Arial" w:cs="Arial"/>
          <w:sz w:val="24"/>
          <w:szCs w:val="24"/>
          <w:lang w:val="ro-RO"/>
        </w:rPr>
        <w:t>, Kosovo, Muntenegru, Serbia)</w:t>
      </w:r>
    </w:p>
    <w:p w:rsidR="001E3C52" w:rsidRPr="006D453B" w:rsidRDefault="001E3C52" w:rsidP="001E3C52">
      <w:pPr>
        <w:ind w:left="720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Nu există cerințe speciale de distribuție a bugetului disponibil între aceste țări.</w:t>
      </w:r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en-US"/>
        </w:rPr>
      </w:pPr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en-US"/>
        </w:rPr>
      </w:pPr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en-US"/>
        </w:rPr>
      </w:pPr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en-US"/>
        </w:rPr>
      </w:pPr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D453B">
        <w:rPr>
          <w:rFonts w:ascii="Arial" w:hAnsi="Arial" w:cs="Arial"/>
          <w:sz w:val="24"/>
          <w:szCs w:val="24"/>
          <w:lang w:val="en-US"/>
        </w:rPr>
        <w:t>Baremuri</w:t>
      </w:r>
      <w:proofErr w:type="spellEnd"/>
      <w:r w:rsidRPr="006D45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453B">
        <w:rPr>
          <w:rFonts w:ascii="Arial" w:hAnsi="Arial" w:cs="Arial"/>
          <w:sz w:val="24"/>
          <w:szCs w:val="24"/>
          <w:lang w:val="en-US"/>
        </w:rPr>
        <w:t>aplicabile</w:t>
      </w:r>
      <w:proofErr w:type="spellEnd"/>
      <w:r w:rsidRPr="006D45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453B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6D45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453B">
        <w:rPr>
          <w:rFonts w:ascii="Arial" w:hAnsi="Arial" w:cs="Arial"/>
          <w:sz w:val="24"/>
          <w:szCs w:val="24"/>
          <w:lang w:val="en-US"/>
        </w:rPr>
        <w:t>studențí</w:t>
      </w:r>
      <w:proofErr w:type="spellEnd"/>
      <w:r w:rsidRPr="006D45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453B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6D453B">
        <w:rPr>
          <w:rFonts w:ascii="Arial" w:hAnsi="Arial" w:cs="Arial"/>
          <w:sz w:val="24"/>
          <w:szCs w:val="24"/>
          <w:lang w:val="en-US"/>
        </w:rPr>
        <w:t xml:space="preserve"> cadre </w:t>
      </w:r>
      <w:proofErr w:type="spellStart"/>
      <w:r w:rsidRPr="006D453B">
        <w:rPr>
          <w:rFonts w:ascii="Arial" w:hAnsi="Arial" w:cs="Arial"/>
          <w:sz w:val="24"/>
          <w:szCs w:val="24"/>
          <w:lang w:val="en-US"/>
        </w:rPr>
        <w:t>didactice</w:t>
      </w:r>
      <w:proofErr w:type="spellEnd"/>
      <w:r w:rsidRPr="006D453B">
        <w:rPr>
          <w:rFonts w:ascii="Arial" w:hAnsi="Arial" w:cs="Arial"/>
          <w:sz w:val="24"/>
          <w:szCs w:val="24"/>
          <w:lang w:val="en-US"/>
        </w:rPr>
        <w:t>:</w:t>
      </w:r>
    </w:p>
    <w:p w:rsidR="001E3C52" w:rsidRPr="006D453B" w:rsidRDefault="001E3C52" w:rsidP="001E3C52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n-US"/>
        </w:rPr>
      </w:pPr>
      <w:r w:rsidRPr="006D453B">
        <w:rPr>
          <w:rFonts w:ascii="Arial" w:hAnsi="Arial" w:cs="Arial"/>
          <w:b/>
          <w:sz w:val="24"/>
          <w:szCs w:val="24"/>
          <w:lang w:val="en-US"/>
        </w:rPr>
        <w:t>Transport</w:t>
      </w:r>
    </w:p>
    <w:p w:rsidR="001E3C52" w:rsidRPr="006D453B" w:rsidRDefault="001E3C52" w:rsidP="001E3C52">
      <w:pPr>
        <w:ind w:left="720"/>
        <w:rPr>
          <w:rFonts w:ascii="Arial" w:hAnsi="Arial" w:cs="Arial"/>
          <w:sz w:val="24"/>
          <w:szCs w:val="24"/>
          <w:lang w:val="ro-RO"/>
        </w:rPr>
      </w:pPr>
      <w:proofErr w:type="spellStart"/>
      <w:r w:rsidRPr="006D453B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6D45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453B">
        <w:rPr>
          <w:rFonts w:ascii="Arial" w:hAnsi="Arial" w:cs="Arial"/>
          <w:b/>
          <w:sz w:val="24"/>
          <w:szCs w:val="24"/>
          <w:lang w:val="en-US"/>
        </w:rPr>
        <w:t>mobilitatea</w:t>
      </w:r>
      <w:proofErr w:type="spellEnd"/>
      <w:r w:rsidRPr="006D45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D453B">
        <w:rPr>
          <w:rFonts w:ascii="Arial" w:hAnsi="Arial" w:cs="Arial"/>
          <w:b/>
          <w:sz w:val="24"/>
          <w:szCs w:val="24"/>
          <w:lang w:val="en-US"/>
        </w:rPr>
        <w:t>studențílor</w:t>
      </w:r>
      <w:proofErr w:type="spellEnd"/>
      <w:r w:rsidRPr="006D45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6D453B">
        <w:rPr>
          <w:rFonts w:ascii="Arial" w:hAnsi="Arial" w:cs="Arial"/>
          <w:b/>
          <w:sz w:val="24"/>
          <w:szCs w:val="24"/>
          <w:lang w:val="ro-RO"/>
        </w:rPr>
        <w:t>și a cadrelor didactice</w:t>
      </w:r>
      <w:r w:rsidRPr="006D453B">
        <w:rPr>
          <w:rFonts w:ascii="Arial" w:hAnsi="Arial" w:cs="Arial"/>
          <w:sz w:val="24"/>
          <w:szCs w:val="24"/>
          <w:lang w:val="ro-RO"/>
        </w:rPr>
        <w:t xml:space="preserve"> se aplică următorul calcul: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916"/>
      </w:tblGrid>
      <w:tr w:rsidR="001E3C52" w:rsidRPr="006D453B" w:rsidTr="004640DF">
        <w:trPr>
          <w:jc w:val="center"/>
        </w:trPr>
        <w:tc>
          <w:tcPr>
            <w:tcW w:w="3348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proofErr w:type="spellStart"/>
            <w:r w:rsidRPr="006D453B">
              <w:rPr>
                <w:rFonts w:ascii="Arial" w:hAnsi="Arial" w:cs="Arial"/>
                <w:b/>
                <w:sz w:val="24"/>
                <w:szCs w:val="24"/>
                <w:lang w:val="ro-RO"/>
              </w:rPr>
              <w:t>Distanţe</w:t>
            </w:r>
            <w:proofErr w:type="spellEnd"/>
          </w:p>
        </w:tc>
        <w:tc>
          <w:tcPr>
            <w:tcW w:w="2916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b/>
                <w:sz w:val="24"/>
                <w:szCs w:val="24"/>
                <w:lang w:val="ro-RO"/>
              </w:rPr>
              <w:t>Suma</w:t>
            </w:r>
          </w:p>
        </w:tc>
      </w:tr>
      <w:tr w:rsidR="001E3C52" w:rsidRPr="006D453B" w:rsidTr="004640DF">
        <w:trPr>
          <w:jc w:val="center"/>
        </w:trPr>
        <w:tc>
          <w:tcPr>
            <w:tcW w:w="3348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 xml:space="preserve">Între 100 </w:t>
            </w:r>
            <w:proofErr w:type="spellStart"/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 xml:space="preserve"> 499 km</w:t>
            </w:r>
          </w:p>
        </w:tc>
        <w:tc>
          <w:tcPr>
            <w:tcW w:w="2916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180 Euro/ participant</w:t>
            </w:r>
          </w:p>
        </w:tc>
      </w:tr>
      <w:tr w:rsidR="001E3C52" w:rsidRPr="006D453B" w:rsidTr="004640DF">
        <w:trPr>
          <w:jc w:val="center"/>
        </w:trPr>
        <w:tc>
          <w:tcPr>
            <w:tcW w:w="3348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 xml:space="preserve">Între 500 </w:t>
            </w:r>
            <w:proofErr w:type="spellStart"/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 xml:space="preserve"> 1999 km</w:t>
            </w:r>
          </w:p>
        </w:tc>
        <w:tc>
          <w:tcPr>
            <w:tcW w:w="2916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275 Euro/ participant</w:t>
            </w:r>
          </w:p>
        </w:tc>
      </w:tr>
      <w:tr w:rsidR="001E3C52" w:rsidRPr="006D453B" w:rsidTr="004640DF">
        <w:trPr>
          <w:jc w:val="center"/>
        </w:trPr>
        <w:tc>
          <w:tcPr>
            <w:tcW w:w="3348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 xml:space="preserve">Între 2000 </w:t>
            </w:r>
            <w:proofErr w:type="spellStart"/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 xml:space="preserve"> 2999 km</w:t>
            </w:r>
          </w:p>
        </w:tc>
        <w:tc>
          <w:tcPr>
            <w:tcW w:w="2916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360 Euro/ participant</w:t>
            </w:r>
          </w:p>
        </w:tc>
      </w:tr>
      <w:tr w:rsidR="001E3C52" w:rsidRPr="006D453B" w:rsidTr="004640DF">
        <w:trPr>
          <w:jc w:val="center"/>
        </w:trPr>
        <w:tc>
          <w:tcPr>
            <w:tcW w:w="3348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 xml:space="preserve">Între 3000 </w:t>
            </w:r>
            <w:proofErr w:type="spellStart"/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 xml:space="preserve"> 3999 km</w:t>
            </w:r>
          </w:p>
        </w:tc>
        <w:tc>
          <w:tcPr>
            <w:tcW w:w="2916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530 Euro/ participant</w:t>
            </w:r>
          </w:p>
        </w:tc>
      </w:tr>
      <w:tr w:rsidR="001E3C52" w:rsidRPr="006D453B" w:rsidTr="004640DF">
        <w:trPr>
          <w:jc w:val="center"/>
        </w:trPr>
        <w:tc>
          <w:tcPr>
            <w:tcW w:w="3348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 xml:space="preserve">Între 4000 </w:t>
            </w:r>
            <w:proofErr w:type="spellStart"/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 xml:space="preserve"> 7999 km</w:t>
            </w:r>
          </w:p>
        </w:tc>
        <w:tc>
          <w:tcPr>
            <w:tcW w:w="2916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820 Euro/ participant</w:t>
            </w:r>
          </w:p>
        </w:tc>
      </w:tr>
      <w:tr w:rsidR="001E3C52" w:rsidRPr="006D453B" w:rsidTr="004640DF">
        <w:trPr>
          <w:jc w:val="center"/>
        </w:trPr>
        <w:tc>
          <w:tcPr>
            <w:tcW w:w="3348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Peste 8000 km</w:t>
            </w:r>
          </w:p>
        </w:tc>
        <w:tc>
          <w:tcPr>
            <w:tcW w:w="2916" w:type="dxa"/>
            <w:shd w:val="clear" w:color="auto" w:fill="auto"/>
          </w:tcPr>
          <w:p w:rsidR="001E3C52" w:rsidRPr="006D453B" w:rsidRDefault="001E3C52" w:rsidP="004640DF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1100 Euro/ participant</w:t>
            </w:r>
          </w:p>
        </w:tc>
      </w:tr>
    </w:tbl>
    <w:p w:rsidR="001E3C52" w:rsidRPr="006D453B" w:rsidRDefault="001E3C52" w:rsidP="001E3C52">
      <w:pPr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Link pentru calcularea distanței:</w:t>
      </w:r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ro-RO"/>
        </w:rPr>
      </w:pPr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ro-RO"/>
        </w:rPr>
      </w:pPr>
      <w:hyperlink r:id="rId5" w:history="1">
        <w:r w:rsidRPr="006D453B">
          <w:rPr>
            <w:rStyle w:val="Hyperlink"/>
            <w:rFonts w:ascii="Arial" w:hAnsi="Arial" w:cs="Arial"/>
            <w:sz w:val="24"/>
            <w:szCs w:val="24"/>
            <w:lang w:val="ro-RO"/>
          </w:rPr>
          <w:t>http://ec.europa.eu/programmes/erasmus-plus/resources_en#tab-1-4</w:t>
        </w:r>
      </w:hyperlink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ro-RO"/>
        </w:rPr>
      </w:pPr>
    </w:p>
    <w:p w:rsidR="001E3C52" w:rsidRPr="006D453B" w:rsidRDefault="001E3C52" w:rsidP="001E3C52">
      <w:pPr>
        <w:rPr>
          <w:rFonts w:ascii="Arial" w:hAnsi="Arial" w:cs="Arial"/>
          <w:sz w:val="24"/>
          <w:szCs w:val="24"/>
          <w:lang w:val="ro-RO"/>
        </w:rPr>
      </w:pPr>
    </w:p>
    <w:p w:rsidR="001E3C52" w:rsidRPr="006D453B" w:rsidRDefault="001E3C52" w:rsidP="001E3C52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ro-RO"/>
        </w:rPr>
      </w:pPr>
      <w:r w:rsidRPr="006D453B">
        <w:rPr>
          <w:rFonts w:ascii="Arial" w:hAnsi="Arial" w:cs="Arial"/>
          <w:b/>
          <w:sz w:val="24"/>
          <w:szCs w:val="24"/>
          <w:lang w:val="ro-RO"/>
        </w:rPr>
        <w:t xml:space="preserve">Sprijin </w:t>
      </w:r>
      <w:proofErr w:type="spellStart"/>
      <w:r w:rsidRPr="006D453B">
        <w:rPr>
          <w:rFonts w:ascii="Arial" w:hAnsi="Arial" w:cs="Arial"/>
          <w:b/>
          <w:sz w:val="24"/>
          <w:szCs w:val="24"/>
          <w:lang w:val="ro-RO"/>
        </w:rPr>
        <w:t>inividual</w:t>
      </w:r>
      <w:proofErr w:type="spellEnd"/>
      <w:r w:rsidRPr="006D453B">
        <w:rPr>
          <w:rFonts w:ascii="Arial" w:hAnsi="Arial" w:cs="Arial"/>
          <w:b/>
          <w:sz w:val="24"/>
          <w:szCs w:val="24"/>
          <w:lang w:val="ro-RO"/>
        </w:rPr>
        <w:t>:</w:t>
      </w:r>
    </w:p>
    <w:p w:rsidR="001E3C52" w:rsidRPr="006D453B" w:rsidRDefault="001E3C52" w:rsidP="001E3C52">
      <w:pPr>
        <w:ind w:left="720"/>
        <w:rPr>
          <w:rFonts w:ascii="Arial" w:hAnsi="Arial" w:cs="Arial"/>
          <w:sz w:val="24"/>
          <w:szCs w:val="24"/>
          <w:lang w:val="ro-RO"/>
        </w:rPr>
      </w:pPr>
    </w:p>
    <w:p w:rsidR="001E3C52" w:rsidRPr="006D453B" w:rsidRDefault="001E3C52" w:rsidP="001E3C52">
      <w:pPr>
        <w:ind w:left="720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pentru mobilitatea personalului din învățământ superior din țările partenere:</w:t>
      </w:r>
    </w:p>
    <w:p w:rsidR="001E3C52" w:rsidRPr="006D453B" w:rsidRDefault="001E3C52" w:rsidP="001E3C52">
      <w:pPr>
        <w:ind w:left="720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889"/>
        <w:gridCol w:w="2835"/>
      </w:tblGrid>
      <w:tr w:rsidR="001E3C52" w:rsidRPr="006D453B" w:rsidTr="004640DF">
        <w:tc>
          <w:tcPr>
            <w:tcW w:w="306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b/>
                <w:sz w:val="24"/>
                <w:szCs w:val="24"/>
                <w:lang w:val="ro-RO"/>
              </w:rPr>
              <w:t>Mobilitate din</w:t>
            </w:r>
          </w:p>
        </w:tc>
        <w:tc>
          <w:tcPr>
            <w:tcW w:w="305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b/>
                <w:sz w:val="24"/>
                <w:szCs w:val="24"/>
                <w:lang w:val="ro-RO"/>
              </w:rPr>
              <w:t>Către</w:t>
            </w:r>
          </w:p>
        </w:tc>
        <w:tc>
          <w:tcPr>
            <w:tcW w:w="3024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b/>
                <w:sz w:val="24"/>
                <w:szCs w:val="24"/>
                <w:lang w:val="ro-RO"/>
              </w:rPr>
              <w:t>Suma pe zi in EURO</w:t>
            </w:r>
          </w:p>
        </w:tc>
      </w:tr>
      <w:tr w:rsidR="001E3C52" w:rsidRPr="006D453B" w:rsidTr="004640DF">
        <w:tc>
          <w:tcPr>
            <w:tcW w:w="306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Țările partenere eligibile</w:t>
            </w:r>
          </w:p>
        </w:tc>
        <w:tc>
          <w:tcPr>
            <w:tcW w:w="305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România</w:t>
            </w:r>
          </w:p>
        </w:tc>
        <w:tc>
          <w:tcPr>
            <w:tcW w:w="3024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140</w:t>
            </w:r>
          </w:p>
        </w:tc>
      </w:tr>
      <w:tr w:rsidR="001E3C52" w:rsidRPr="006D453B" w:rsidTr="004640DF">
        <w:tc>
          <w:tcPr>
            <w:tcW w:w="306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România</w:t>
            </w:r>
          </w:p>
        </w:tc>
        <w:tc>
          <w:tcPr>
            <w:tcW w:w="305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Țările partenere eligibile</w:t>
            </w:r>
          </w:p>
        </w:tc>
        <w:tc>
          <w:tcPr>
            <w:tcW w:w="3024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160</w:t>
            </w:r>
          </w:p>
        </w:tc>
      </w:tr>
    </w:tbl>
    <w:p w:rsidR="001E3C52" w:rsidRPr="006D453B" w:rsidRDefault="001E3C52" w:rsidP="001E3C52">
      <w:pPr>
        <w:ind w:left="720"/>
        <w:rPr>
          <w:rFonts w:ascii="Arial" w:hAnsi="Arial" w:cs="Arial"/>
          <w:sz w:val="24"/>
          <w:szCs w:val="24"/>
          <w:lang w:val="ro-RO"/>
        </w:rPr>
      </w:pPr>
    </w:p>
    <w:p w:rsidR="001E3C52" w:rsidRPr="006D453B" w:rsidRDefault="001E3C52" w:rsidP="001E3C52">
      <w:pPr>
        <w:ind w:left="720"/>
        <w:rPr>
          <w:rFonts w:ascii="Arial" w:hAnsi="Arial" w:cs="Arial"/>
          <w:sz w:val="24"/>
          <w:szCs w:val="24"/>
          <w:lang w:val="ro-RO"/>
        </w:rPr>
      </w:pPr>
      <w:r w:rsidRPr="006D453B">
        <w:rPr>
          <w:rFonts w:ascii="Arial" w:hAnsi="Arial" w:cs="Arial"/>
          <w:sz w:val="24"/>
          <w:szCs w:val="24"/>
          <w:lang w:val="ro-RO"/>
        </w:rPr>
        <w:t>pentru mobilitatea studenților din învățământ superior între țările participante și țările partenere: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879"/>
        <w:gridCol w:w="2853"/>
      </w:tblGrid>
      <w:tr w:rsidR="001E3C52" w:rsidRPr="006D453B" w:rsidTr="004640DF">
        <w:tc>
          <w:tcPr>
            <w:tcW w:w="306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b/>
                <w:sz w:val="24"/>
                <w:szCs w:val="24"/>
                <w:lang w:val="ro-RO"/>
              </w:rPr>
              <w:t>Mobilitate din</w:t>
            </w:r>
          </w:p>
        </w:tc>
        <w:tc>
          <w:tcPr>
            <w:tcW w:w="305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b/>
                <w:sz w:val="24"/>
                <w:szCs w:val="24"/>
                <w:lang w:val="ro-RO"/>
              </w:rPr>
              <w:t>Către</w:t>
            </w:r>
          </w:p>
        </w:tc>
        <w:tc>
          <w:tcPr>
            <w:tcW w:w="3024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b/>
                <w:sz w:val="24"/>
                <w:szCs w:val="24"/>
                <w:lang w:val="ro-RO"/>
              </w:rPr>
              <w:t>Suma in EURO</w:t>
            </w:r>
          </w:p>
        </w:tc>
      </w:tr>
      <w:tr w:rsidR="001E3C52" w:rsidRPr="006D453B" w:rsidTr="004640DF">
        <w:tc>
          <w:tcPr>
            <w:tcW w:w="306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Țările partenere eligibile</w:t>
            </w:r>
          </w:p>
        </w:tc>
        <w:tc>
          <w:tcPr>
            <w:tcW w:w="305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România</w:t>
            </w:r>
          </w:p>
        </w:tc>
        <w:tc>
          <w:tcPr>
            <w:tcW w:w="3024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750 euro/lună</w:t>
            </w:r>
          </w:p>
        </w:tc>
      </w:tr>
      <w:tr w:rsidR="001E3C52" w:rsidRPr="006D453B" w:rsidTr="004640DF">
        <w:tc>
          <w:tcPr>
            <w:tcW w:w="306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România</w:t>
            </w:r>
          </w:p>
        </w:tc>
        <w:tc>
          <w:tcPr>
            <w:tcW w:w="3050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Țările partenere eligibile</w:t>
            </w:r>
          </w:p>
        </w:tc>
        <w:tc>
          <w:tcPr>
            <w:tcW w:w="3024" w:type="dxa"/>
            <w:shd w:val="clear" w:color="auto" w:fill="auto"/>
          </w:tcPr>
          <w:p w:rsidR="001E3C52" w:rsidRPr="006D453B" w:rsidRDefault="001E3C52" w:rsidP="004640D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D453B">
              <w:rPr>
                <w:rFonts w:ascii="Arial" w:hAnsi="Arial" w:cs="Arial"/>
                <w:sz w:val="24"/>
                <w:szCs w:val="24"/>
                <w:lang w:val="ro-RO"/>
              </w:rPr>
              <w:t>650 euro/lună</w:t>
            </w:r>
          </w:p>
        </w:tc>
      </w:tr>
    </w:tbl>
    <w:p w:rsidR="002510E1" w:rsidRDefault="002510E1">
      <w:bookmarkStart w:id="0" w:name="_GoBack"/>
      <w:bookmarkEnd w:id="0"/>
    </w:p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0780"/>
    <w:multiLevelType w:val="hybridMultilevel"/>
    <w:tmpl w:val="D3527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6284"/>
    <w:multiLevelType w:val="hybridMultilevel"/>
    <w:tmpl w:val="E39429A8"/>
    <w:lvl w:ilvl="0" w:tplc="1500F8E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3A676E"/>
    <w:multiLevelType w:val="hybridMultilevel"/>
    <w:tmpl w:val="B09CBE7E"/>
    <w:lvl w:ilvl="0" w:tplc="CBAE7F4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812B89"/>
    <w:multiLevelType w:val="hybridMultilevel"/>
    <w:tmpl w:val="2AEE6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52"/>
    <w:rsid w:val="001E3C52"/>
    <w:rsid w:val="002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368F"/>
  <w15:chartTrackingRefBased/>
  <w15:docId w15:val="{A2F56CAE-B69F-4515-A738-2FD9B2CE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C52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C5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E3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3C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resources_en#tab-1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2018-04-24T09:21:00Z</dcterms:created>
  <dcterms:modified xsi:type="dcterms:W3CDTF">2018-04-24T09:21:00Z</dcterms:modified>
</cp:coreProperties>
</file>