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05B838" w14:textId="77777777" w:rsidR="001E5211" w:rsidRDefault="001E5211" w:rsidP="001E5211">
      <w:pPr>
        <w:spacing w:line="360" w:lineRule="auto"/>
        <w:jc w:val="both"/>
        <w:rPr>
          <w:b/>
          <w:lang w:val="it-IT"/>
        </w:rPr>
      </w:pPr>
      <w:bookmarkStart w:id="0" w:name="_GoBack"/>
      <w:bookmarkEnd w:id="0"/>
      <w:r>
        <w:rPr>
          <w:b/>
          <w:lang w:val="it-IT"/>
        </w:rPr>
        <w:t>UNIVERSITATEA TEHNICĂ “GHEORGHE ASACHI” DIN IAŞI</w:t>
      </w:r>
    </w:p>
    <w:p w14:paraId="7A7930B4" w14:textId="77777777" w:rsidR="001E5211" w:rsidRPr="00DE4773" w:rsidRDefault="001E5211" w:rsidP="001E5211">
      <w:pPr>
        <w:spacing w:line="360" w:lineRule="auto"/>
        <w:jc w:val="both"/>
        <w:rPr>
          <w:b/>
          <w:lang w:val="pt-BR"/>
        </w:rPr>
      </w:pPr>
      <w:r w:rsidRPr="00DE4773">
        <w:rPr>
          <w:b/>
          <w:lang w:val="pt-BR"/>
        </w:rPr>
        <w:t>Facultatea de AUTOMATICĂ ŞI CALCULATOARE</w:t>
      </w:r>
    </w:p>
    <w:p w14:paraId="164E6CF8" w14:textId="11824047" w:rsidR="001E5211" w:rsidRPr="00DE4773" w:rsidRDefault="001E5211" w:rsidP="001E5211">
      <w:pPr>
        <w:spacing w:line="360" w:lineRule="auto"/>
        <w:jc w:val="both"/>
        <w:rPr>
          <w:b/>
          <w:lang w:val="pt-BR"/>
        </w:rPr>
      </w:pPr>
      <w:r w:rsidRPr="00DE4773">
        <w:rPr>
          <w:b/>
          <w:lang w:val="pt-BR"/>
        </w:rPr>
        <w:t xml:space="preserve">Departamentul de </w:t>
      </w:r>
      <w:r>
        <w:rPr>
          <w:b/>
          <w:lang w:val="pt-BR"/>
        </w:rPr>
        <w:t>CALCULATOARE</w:t>
      </w:r>
    </w:p>
    <w:p w14:paraId="59B71812" w14:textId="77777777" w:rsidR="001E5211" w:rsidRDefault="001E5211" w:rsidP="001E5211">
      <w:pPr>
        <w:spacing w:line="360" w:lineRule="auto"/>
        <w:jc w:val="both"/>
        <w:rPr>
          <w:lang w:val="pt-BR"/>
        </w:rPr>
      </w:pPr>
    </w:p>
    <w:p w14:paraId="60234A4C" w14:textId="63701709" w:rsidR="001E5211" w:rsidRPr="00DE4773" w:rsidRDefault="001E5211" w:rsidP="001E5211">
      <w:pPr>
        <w:spacing w:line="360" w:lineRule="auto"/>
        <w:jc w:val="both"/>
        <w:rPr>
          <w:lang w:val="pt-BR"/>
        </w:rPr>
      </w:pPr>
      <w:r w:rsidRPr="00DE4773">
        <w:rPr>
          <w:lang w:val="pt-BR"/>
        </w:rPr>
        <w:t xml:space="preserve">Concurs pentru ocuparea postului de </w:t>
      </w:r>
      <w:r w:rsidRPr="001B3970">
        <w:rPr>
          <w:b/>
          <w:lang w:val="it-IT"/>
        </w:rPr>
        <w:t>șef de lucrări</w:t>
      </w:r>
      <w:r w:rsidRPr="00DE4773">
        <w:rPr>
          <w:lang w:val="pt-BR"/>
        </w:rPr>
        <w:t xml:space="preserve"> poz. </w:t>
      </w:r>
      <w:r>
        <w:rPr>
          <w:b/>
          <w:lang w:val="pt-BR"/>
        </w:rPr>
        <w:t>30</w:t>
      </w:r>
      <w:r w:rsidRPr="00DE4773">
        <w:rPr>
          <w:b/>
          <w:lang w:val="pt-BR"/>
        </w:rPr>
        <w:t xml:space="preserve"> </w:t>
      </w:r>
      <w:r w:rsidRPr="00DE4773">
        <w:rPr>
          <w:lang w:val="pt-BR"/>
        </w:rPr>
        <w:t>din Statul de funcţii</w:t>
      </w:r>
      <w:r w:rsidRPr="00DE4773">
        <w:rPr>
          <w:b/>
          <w:lang w:val="pt-BR"/>
        </w:rPr>
        <w:t xml:space="preserve">  </w:t>
      </w:r>
      <w:r w:rsidRPr="00DE4773">
        <w:rPr>
          <w:lang w:val="pt-BR"/>
        </w:rPr>
        <w:t xml:space="preserve"> </w:t>
      </w:r>
    </w:p>
    <w:p w14:paraId="44E624B2" w14:textId="67C29E46" w:rsidR="001E5211" w:rsidRPr="001B3970" w:rsidRDefault="001E5211" w:rsidP="001E5211">
      <w:pPr>
        <w:spacing w:line="360" w:lineRule="auto"/>
        <w:rPr>
          <w:sz w:val="40"/>
          <w:lang w:val="it-IT"/>
        </w:rPr>
      </w:pPr>
      <w:r w:rsidRPr="0026438B">
        <w:rPr>
          <w:lang w:val="it-IT"/>
        </w:rPr>
        <w:t xml:space="preserve">Disciplinele postului:  </w:t>
      </w:r>
      <w:r>
        <w:rPr>
          <w:lang w:val="it-IT"/>
        </w:rPr>
        <w:t>Bazele informaticii</w:t>
      </w:r>
    </w:p>
    <w:p w14:paraId="4C1A8765" w14:textId="2376B5B8" w:rsidR="001E5211" w:rsidRPr="001B3970" w:rsidRDefault="001E5211" w:rsidP="001E5211">
      <w:pPr>
        <w:spacing w:line="360" w:lineRule="auto"/>
        <w:rPr>
          <w:sz w:val="36"/>
          <w:lang w:val="it-IT"/>
        </w:rPr>
      </w:pP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  <w:t>Programarea calculatoarelor</w:t>
      </w:r>
      <w:r w:rsidRPr="001B3970">
        <w:rPr>
          <w:sz w:val="36"/>
          <w:lang w:val="it-IT"/>
        </w:rPr>
        <w:t xml:space="preserve"> </w:t>
      </w:r>
    </w:p>
    <w:p w14:paraId="30C91984" w14:textId="70D093CF" w:rsidR="001E5211" w:rsidRPr="007B77A1" w:rsidRDefault="001E5211" w:rsidP="001E5211">
      <w:pPr>
        <w:spacing w:line="360" w:lineRule="auto"/>
        <w:rPr>
          <w:lang w:val="pt-BR"/>
        </w:rPr>
      </w:pP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  <w:t>Proiectarea aplicatiilor orientate pe obiecte</w:t>
      </w:r>
      <w:r w:rsidRPr="007B77A1">
        <w:rPr>
          <w:lang w:val="pt-BR"/>
        </w:rPr>
        <w:tab/>
      </w:r>
    </w:p>
    <w:p w14:paraId="2DE49F0B" w14:textId="77777777" w:rsidR="001E5211" w:rsidRPr="007B77A1" w:rsidRDefault="001E5211" w:rsidP="001E5211">
      <w:pPr>
        <w:spacing w:line="360" w:lineRule="auto"/>
        <w:jc w:val="center"/>
        <w:rPr>
          <w:lang w:val="pt-BR"/>
        </w:rPr>
      </w:pPr>
    </w:p>
    <w:p w14:paraId="36B6246A" w14:textId="77777777" w:rsidR="001E5211" w:rsidRPr="007B77A1" w:rsidRDefault="001E5211" w:rsidP="001E5211">
      <w:pPr>
        <w:spacing w:line="360" w:lineRule="auto"/>
        <w:jc w:val="center"/>
        <w:rPr>
          <w:lang w:val="pt-BR"/>
        </w:rPr>
      </w:pPr>
    </w:p>
    <w:p w14:paraId="049FD1ED" w14:textId="77777777" w:rsidR="001E5211" w:rsidRPr="0062237A" w:rsidRDefault="001E5211" w:rsidP="001E5211">
      <w:pPr>
        <w:spacing w:line="360" w:lineRule="auto"/>
        <w:jc w:val="center"/>
        <w:rPr>
          <w:b/>
          <w:bCs/>
          <w:lang w:val="it-IT"/>
        </w:rPr>
      </w:pPr>
      <w:r w:rsidRPr="0062237A">
        <w:rPr>
          <w:b/>
          <w:bCs/>
          <w:lang w:val="it-IT"/>
        </w:rPr>
        <w:t xml:space="preserve">TEMATICA </w:t>
      </w:r>
      <w:r w:rsidRPr="0062237A">
        <w:rPr>
          <w:b/>
          <w:bCs/>
          <w:caps/>
          <w:lang w:val="it-IT"/>
        </w:rPr>
        <w:t>de concurs</w:t>
      </w:r>
    </w:p>
    <w:p w14:paraId="0245154B" w14:textId="77777777" w:rsidR="001E5211" w:rsidRPr="00EE363B" w:rsidRDefault="001E5211" w:rsidP="001E5211">
      <w:pPr>
        <w:spacing w:line="360" w:lineRule="auto"/>
        <w:jc w:val="center"/>
        <w:rPr>
          <w:b/>
          <w:lang w:val="it-IT"/>
        </w:rPr>
      </w:pPr>
      <w:r>
        <w:rPr>
          <w:lang w:val="it-IT"/>
        </w:rPr>
        <w:t xml:space="preserve">pentru postul de </w:t>
      </w:r>
      <w:r w:rsidRPr="001B3970">
        <w:rPr>
          <w:b/>
          <w:lang w:val="it-IT"/>
        </w:rPr>
        <w:t>șef de lucrări</w:t>
      </w:r>
      <w:r>
        <w:rPr>
          <w:b/>
          <w:lang w:val="it-IT"/>
        </w:rPr>
        <w:t xml:space="preserve"> </w:t>
      </w:r>
      <w:r w:rsidRPr="00F62098">
        <w:rPr>
          <w:bCs/>
          <w:lang w:val="it-IT"/>
        </w:rPr>
        <w:t>(perioad</w:t>
      </w:r>
      <w:r>
        <w:rPr>
          <w:bCs/>
          <w:lang w:val="it-IT"/>
        </w:rPr>
        <w:t>ă</w:t>
      </w:r>
      <w:r w:rsidRPr="00F62098">
        <w:rPr>
          <w:bCs/>
          <w:lang w:val="it-IT"/>
        </w:rPr>
        <w:t xml:space="preserve"> nedeterminată)</w:t>
      </w:r>
    </w:p>
    <w:p w14:paraId="2F4E8775" w14:textId="77777777" w:rsidR="001E5211" w:rsidRDefault="001E5211" w:rsidP="001E5211">
      <w:pPr>
        <w:spacing w:line="360" w:lineRule="auto"/>
        <w:jc w:val="center"/>
        <w:rPr>
          <w:lang w:val="it-IT"/>
        </w:rPr>
      </w:pPr>
    </w:p>
    <w:p w14:paraId="2C4C1A12" w14:textId="216D3382" w:rsidR="004C3B07" w:rsidRPr="00632855" w:rsidRDefault="004C3B07" w:rsidP="00123EF6">
      <w:pPr>
        <w:jc w:val="both"/>
        <w:rPr>
          <w:color w:val="000000" w:themeColor="text1"/>
        </w:rPr>
      </w:pPr>
    </w:p>
    <w:p w14:paraId="755DCC1A" w14:textId="77777777" w:rsidR="00CB4256" w:rsidRPr="00632855" w:rsidRDefault="00CB4256" w:rsidP="00123EF6">
      <w:pPr>
        <w:jc w:val="both"/>
        <w:rPr>
          <w:color w:val="000000" w:themeColor="text1"/>
        </w:rPr>
      </w:pPr>
    </w:p>
    <w:p w14:paraId="4561DD6A" w14:textId="704A6082" w:rsidR="00123EF6" w:rsidRPr="00632855" w:rsidRDefault="00123EF6" w:rsidP="00123EF6">
      <w:pPr>
        <w:jc w:val="both"/>
        <w:rPr>
          <w:color w:val="000000" w:themeColor="text1"/>
        </w:rPr>
      </w:pPr>
      <w:r w:rsidRPr="00632855">
        <w:rPr>
          <w:color w:val="000000" w:themeColor="text1"/>
        </w:rPr>
        <w:t>1</w:t>
      </w:r>
      <w:r w:rsidRPr="00875571">
        <w:rPr>
          <w:b/>
          <w:color w:val="000000" w:themeColor="text1"/>
        </w:rPr>
        <w:t>. Reprezentarea date</w:t>
      </w:r>
      <w:r w:rsidR="00166130" w:rsidRPr="00875571">
        <w:rPr>
          <w:b/>
          <w:color w:val="000000" w:themeColor="text1"/>
        </w:rPr>
        <w:t>lor în calculatoarelor numerice</w:t>
      </w:r>
      <w:r w:rsidR="00166130" w:rsidRPr="00632855">
        <w:rPr>
          <w:color w:val="000000" w:themeColor="text1"/>
        </w:rPr>
        <w:t>.</w:t>
      </w:r>
    </w:p>
    <w:p w14:paraId="5CE65C46" w14:textId="1E3E84D9" w:rsidR="00123EF6" w:rsidRDefault="00123EF6" w:rsidP="00CB4256">
      <w:pPr>
        <w:ind w:left="270"/>
        <w:jc w:val="both"/>
        <w:rPr>
          <w:color w:val="000000" w:themeColor="text1"/>
        </w:rPr>
      </w:pPr>
      <w:r w:rsidRPr="00632855">
        <w:rPr>
          <w:color w:val="000000" w:themeColor="text1"/>
        </w:rPr>
        <w:t xml:space="preserve">Sisteme de numeraţie. Conversii între sistemele de numeraţie. </w:t>
      </w:r>
      <w:r w:rsidR="00E54DBF" w:rsidRPr="00632855">
        <w:rPr>
          <w:color w:val="000000" w:themeColor="text1"/>
        </w:rPr>
        <w:t>Noțiuni de c</w:t>
      </w:r>
      <w:r w:rsidR="00134FE1" w:rsidRPr="00632855">
        <w:rPr>
          <w:color w:val="000000" w:themeColor="text1"/>
        </w:rPr>
        <w:t>odificare</w:t>
      </w:r>
      <w:r w:rsidR="001D68BF" w:rsidRPr="00632855">
        <w:rPr>
          <w:color w:val="000000" w:themeColor="text1"/>
        </w:rPr>
        <w:t xml:space="preserve"> </w:t>
      </w:r>
      <w:r w:rsidR="00134FE1" w:rsidRPr="00632855">
        <w:rPr>
          <w:color w:val="000000" w:themeColor="text1"/>
        </w:rPr>
        <w:t>a informației</w:t>
      </w:r>
      <w:r w:rsidR="0011062D" w:rsidRPr="00632855">
        <w:rPr>
          <w:color w:val="000000" w:themeColor="text1"/>
        </w:rPr>
        <w:t>. Modalități de reprezentare</w:t>
      </w:r>
      <w:r w:rsidR="00265B29" w:rsidRPr="00632855">
        <w:rPr>
          <w:color w:val="000000" w:themeColor="text1"/>
        </w:rPr>
        <w:t xml:space="preserve"> </w:t>
      </w:r>
      <w:r w:rsidR="0011062D" w:rsidRPr="00632855">
        <w:rPr>
          <w:color w:val="000000" w:themeColor="text1"/>
        </w:rPr>
        <w:t>a numerelor în sistemele de calcul.</w:t>
      </w:r>
      <w:r w:rsidRPr="00632855">
        <w:rPr>
          <w:color w:val="000000" w:themeColor="text1"/>
        </w:rPr>
        <w:t xml:space="preserve">. Reprezentări în coduri complementare, virgulă fixă şi virgulă mobilă. </w:t>
      </w:r>
      <w:r w:rsidR="0011062D" w:rsidRPr="00632855">
        <w:rPr>
          <w:color w:val="000000" w:themeColor="text1"/>
        </w:rPr>
        <w:t xml:space="preserve">Operaţii cu numere codificate </w:t>
      </w:r>
      <w:r w:rsidRPr="00632855">
        <w:rPr>
          <w:color w:val="000000" w:themeColor="text1"/>
        </w:rPr>
        <w:t>Coduri</w:t>
      </w:r>
      <w:r w:rsidR="00CB4256" w:rsidRPr="00632855">
        <w:rPr>
          <w:color w:val="000000" w:themeColor="text1"/>
        </w:rPr>
        <w:t xml:space="preserve"> </w:t>
      </w:r>
      <w:r w:rsidRPr="00632855">
        <w:rPr>
          <w:color w:val="000000" w:themeColor="text1"/>
        </w:rPr>
        <w:t xml:space="preserve">numerice şi alfanumerice. Coduri Gray, </w:t>
      </w:r>
      <w:proofErr w:type="spellStart"/>
      <w:r w:rsidRPr="00632855">
        <w:rPr>
          <w:color w:val="000000" w:themeColor="text1"/>
        </w:rPr>
        <w:t>Huffman</w:t>
      </w:r>
      <w:proofErr w:type="spellEnd"/>
      <w:r w:rsidRPr="00632855">
        <w:rPr>
          <w:color w:val="000000" w:themeColor="text1"/>
        </w:rPr>
        <w:t xml:space="preserve">, </w:t>
      </w:r>
      <w:r w:rsidR="00077C45" w:rsidRPr="00632855">
        <w:rPr>
          <w:color w:val="000000" w:themeColor="text1"/>
        </w:rPr>
        <w:t xml:space="preserve">coduri </w:t>
      </w:r>
      <w:r w:rsidRPr="00632855">
        <w:rPr>
          <w:color w:val="000000" w:themeColor="text1"/>
        </w:rPr>
        <w:t xml:space="preserve">detectoare </w:t>
      </w:r>
      <w:proofErr w:type="spellStart"/>
      <w:r w:rsidRPr="00632855">
        <w:rPr>
          <w:color w:val="000000" w:themeColor="text1"/>
        </w:rPr>
        <w:t>şi</w:t>
      </w:r>
      <w:proofErr w:type="spellEnd"/>
      <w:r w:rsidRPr="00632855">
        <w:rPr>
          <w:color w:val="000000" w:themeColor="text1"/>
        </w:rPr>
        <w:t xml:space="preserve"> corectoare de erori.</w:t>
      </w:r>
    </w:p>
    <w:p w14:paraId="5F7B3C91" w14:textId="77777777" w:rsidR="00875571" w:rsidRPr="00632855" w:rsidRDefault="00875571" w:rsidP="00CB4256">
      <w:pPr>
        <w:ind w:left="270"/>
        <w:jc w:val="both"/>
        <w:rPr>
          <w:color w:val="000000" w:themeColor="text1"/>
        </w:rPr>
      </w:pPr>
    </w:p>
    <w:p w14:paraId="0C6ED09C" w14:textId="22F69954" w:rsidR="00123EF6" w:rsidRPr="00632855" w:rsidRDefault="00123EF6" w:rsidP="00123EF6">
      <w:pPr>
        <w:jc w:val="both"/>
        <w:rPr>
          <w:color w:val="000000" w:themeColor="text1"/>
        </w:rPr>
      </w:pPr>
      <w:r w:rsidRPr="00632855">
        <w:rPr>
          <w:color w:val="000000" w:themeColor="text1"/>
        </w:rPr>
        <w:t xml:space="preserve">2. </w:t>
      </w:r>
      <w:r w:rsidR="00265B29" w:rsidRPr="00875571">
        <w:rPr>
          <w:b/>
          <w:color w:val="000000" w:themeColor="text1"/>
        </w:rPr>
        <w:t>A</w:t>
      </w:r>
      <w:r w:rsidRPr="00875571">
        <w:rPr>
          <w:b/>
          <w:color w:val="000000" w:themeColor="text1"/>
        </w:rPr>
        <w:t>gerbă booleeană</w:t>
      </w:r>
      <w:r w:rsidRPr="00632855">
        <w:rPr>
          <w:color w:val="000000" w:themeColor="text1"/>
        </w:rPr>
        <w:t xml:space="preserve"> </w:t>
      </w:r>
    </w:p>
    <w:p w14:paraId="15D3B80B" w14:textId="15CF684F" w:rsidR="00123EF6" w:rsidRDefault="00123EF6" w:rsidP="00265B29">
      <w:pPr>
        <w:ind w:left="270"/>
        <w:jc w:val="both"/>
        <w:rPr>
          <w:color w:val="000000" w:themeColor="text1"/>
        </w:rPr>
      </w:pPr>
      <w:r w:rsidRPr="00632855">
        <w:rPr>
          <w:color w:val="000000" w:themeColor="text1"/>
        </w:rPr>
        <w:t>Axiome. Proprietăţi. Expresii şi tabele de adevăr. Aplicaţii. Funcţii logice. Definiţii.</w:t>
      </w:r>
      <w:r w:rsidR="0011062D" w:rsidRPr="00632855">
        <w:rPr>
          <w:color w:val="000000" w:themeColor="text1"/>
        </w:rPr>
        <w:t xml:space="preserve"> Metode de reprezentare a funcțiilor logice. Expresii analitice ale funcţiilor logice. Operaţii. Minimizarea funcţiilor logice. Diagrame Veitch –Karnaugh. Algoritmul Quine – McCluskey. Porţi logice. Implementare. </w:t>
      </w:r>
      <w:r w:rsidRPr="00632855">
        <w:rPr>
          <w:color w:val="000000" w:themeColor="text1"/>
        </w:rPr>
        <w:t xml:space="preserve">Circuite logice combianţionale. Circuite logice </w:t>
      </w:r>
      <w:proofErr w:type="spellStart"/>
      <w:r w:rsidRPr="00632855">
        <w:rPr>
          <w:color w:val="000000" w:themeColor="text1"/>
        </w:rPr>
        <w:t>secvenţiale</w:t>
      </w:r>
      <w:proofErr w:type="spellEnd"/>
      <w:r w:rsidRPr="00632855">
        <w:rPr>
          <w:color w:val="000000" w:themeColor="text1"/>
        </w:rPr>
        <w:t>.</w:t>
      </w:r>
    </w:p>
    <w:p w14:paraId="50E16C2D" w14:textId="77777777" w:rsidR="00875571" w:rsidRPr="00632855" w:rsidRDefault="00875571" w:rsidP="00265B29">
      <w:pPr>
        <w:ind w:left="270"/>
        <w:jc w:val="both"/>
        <w:rPr>
          <w:color w:val="000000" w:themeColor="text1"/>
        </w:rPr>
      </w:pPr>
    </w:p>
    <w:p w14:paraId="76483CB5" w14:textId="107F5CFE" w:rsidR="00123EF6" w:rsidRPr="00875571" w:rsidRDefault="00123EF6" w:rsidP="00123EF6">
      <w:pPr>
        <w:jc w:val="both"/>
        <w:rPr>
          <w:b/>
          <w:color w:val="000000" w:themeColor="text1"/>
        </w:rPr>
      </w:pPr>
      <w:r w:rsidRPr="00632855">
        <w:rPr>
          <w:color w:val="000000" w:themeColor="text1"/>
        </w:rPr>
        <w:t xml:space="preserve">3. </w:t>
      </w:r>
      <w:r w:rsidR="00A86B0D" w:rsidRPr="00875571">
        <w:rPr>
          <w:b/>
          <w:color w:val="000000" w:themeColor="text1"/>
        </w:rPr>
        <w:t>A</w:t>
      </w:r>
      <w:r w:rsidRPr="00875571">
        <w:rPr>
          <w:b/>
          <w:color w:val="000000" w:themeColor="text1"/>
        </w:rPr>
        <w:t>rhitectura calculatoarelor</w:t>
      </w:r>
    </w:p>
    <w:p w14:paraId="6492C57A" w14:textId="72FFCD24" w:rsidR="00123EF6" w:rsidRDefault="00123EF6" w:rsidP="00265B29">
      <w:pPr>
        <w:ind w:left="270"/>
        <w:jc w:val="both"/>
        <w:rPr>
          <w:color w:val="000000" w:themeColor="text1"/>
        </w:rPr>
      </w:pPr>
      <w:r w:rsidRPr="00632855">
        <w:rPr>
          <w:color w:val="000000" w:themeColor="text1"/>
        </w:rPr>
        <w:t>Prezentare generală. Unitate centrală, dispozitive de memorie, memoria liniară şi virtuală, segmentarea, paginarea şi memoria cache, dispozitive de intrare-</w:t>
      </w:r>
      <w:proofErr w:type="spellStart"/>
      <w:r w:rsidRPr="00632855">
        <w:rPr>
          <w:color w:val="000000" w:themeColor="text1"/>
        </w:rPr>
        <w:t>ieşire</w:t>
      </w:r>
      <w:proofErr w:type="spellEnd"/>
      <w:r w:rsidRPr="00632855">
        <w:rPr>
          <w:color w:val="000000" w:themeColor="text1"/>
        </w:rPr>
        <w:t>, magistrale</w:t>
      </w:r>
      <w:r w:rsidR="0011062D" w:rsidRPr="00632855">
        <w:rPr>
          <w:color w:val="000000" w:themeColor="text1"/>
        </w:rPr>
        <w:t>.</w:t>
      </w:r>
    </w:p>
    <w:p w14:paraId="5A6DD344" w14:textId="77777777" w:rsidR="00875571" w:rsidRPr="00632855" w:rsidRDefault="00875571" w:rsidP="00265B29">
      <w:pPr>
        <w:ind w:left="270"/>
        <w:jc w:val="both"/>
        <w:rPr>
          <w:color w:val="000000" w:themeColor="text1"/>
        </w:rPr>
      </w:pPr>
    </w:p>
    <w:p w14:paraId="6DAEB960" w14:textId="5EF73398" w:rsidR="00123EF6" w:rsidRPr="00632855" w:rsidRDefault="00123EF6" w:rsidP="00123EF6">
      <w:pPr>
        <w:jc w:val="both"/>
        <w:rPr>
          <w:color w:val="000000" w:themeColor="text1"/>
        </w:rPr>
      </w:pPr>
      <w:r w:rsidRPr="00632855">
        <w:rPr>
          <w:color w:val="000000" w:themeColor="text1"/>
        </w:rPr>
        <w:t xml:space="preserve">4. </w:t>
      </w:r>
      <w:r w:rsidRPr="00875571">
        <w:rPr>
          <w:b/>
          <w:color w:val="000000" w:themeColor="text1"/>
        </w:rPr>
        <w:t>Unităţi centrale tip microprocesor. Procesoare din familia Intel</w:t>
      </w:r>
      <w:r w:rsidRPr="00632855">
        <w:rPr>
          <w:color w:val="000000" w:themeColor="text1"/>
        </w:rPr>
        <w:t xml:space="preserve"> </w:t>
      </w:r>
    </w:p>
    <w:p w14:paraId="1F1AA41B" w14:textId="424EB4D7" w:rsidR="00123EF6" w:rsidRDefault="00123EF6" w:rsidP="00265B29">
      <w:pPr>
        <w:ind w:left="270"/>
        <w:jc w:val="both"/>
        <w:rPr>
          <w:color w:val="000000" w:themeColor="text1"/>
        </w:rPr>
      </w:pPr>
      <w:r w:rsidRPr="00632855">
        <w:rPr>
          <w:color w:val="000000" w:themeColor="text1"/>
        </w:rPr>
        <w:t xml:space="preserve">Microprocesorul 8086. Structura. Moduri de adresare. Formatul unei instructiuni. Ciclu instrucţiune. Instrucţiuni logice, aritmetice, de salt cu adresare directă. Stiva şi apeluri de   subrutine. Transmiterea parametrilor. Instrucţiuni de I/O. Întreruperi. </w:t>
      </w:r>
    </w:p>
    <w:p w14:paraId="607C6D7A" w14:textId="77777777" w:rsidR="00875571" w:rsidRPr="00632855" w:rsidRDefault="00875571" w:rsidP="00265B29">
      <w:pPr>
        <w:ind w:left="270"/>
        <w:jc w:val="both"/>
        <w:rPr>
          <w:color w:val="000000" w:themeColor="text1"/>
        </w:rPr>
      </w:pPr>
    </w:p>
    <w:p w14:paraId="5C164FB0" w14:textId="1D5E1F32" w:rsidR="00123EF6" w:rsidRPr="00632855" w:rsidRDefault="00123EF6" w:rsidP="00123EF6">
      <w:pPr>
        <w:jc w:val="both"/>
        <w:rPr>
          <w:color w:val="000000" w:themeColor="text1"/>
        </w:rPr>
      </w:pPr>
      <w:r w:rsidRPr="00632855">
        <w:rPr>
          <w:color w:val="000000" w:themeColor="text1"/>
        </w:rPr>
        <w:t xml:space="preserve">5. </w:t>
      </w:r>
      <w:r w:rsidRPr="00875571">
        <w:rPr>
          <w:b/>
          <w:color w:val="000000" w:themeColor="text1"/>
        </w:rPr>
        <w:t>Introducere în limbaj de asamblare</w:t>
      </w:r>
      <w:r w:rsidR="00A86B0D" w:rsidRPr="00632855">
        <w:rPr>
          <w:color w:val="000000" w:themeColor="text1"/>
        </w:rPr>
        <w:t xml:space="preserve"> </w:t>
      </w:r>
    </w:p>
    <w:p w14:paraId="2FB978C2" w14:textId="14FB4B8D" w:rsidR="00060D6B" w:rsidRPr="00632855" w:rsidRDefault="00673672" w:rsidP="00265B29">
      <w:pPr>
        <w:ind w:left="270"/>
        <w:jc w:val="both"/>
        <w:rPr>
          <w:color w:val="000000" w:themeColor="text1"/>
        </w:rPr>
      </w:pPr>
      <w:r w:rsidRPr="00632855">
        <w:rPr>
          <w:color w:val="000000" w:themeColor="text1"/>
        </w:rPr>
        <w:t>Registre</w:t>
      </w:r>
      <w:r w:rsidR="00026EEC" w:rsidRPr="00632855">
        <w:rPr>
          <w:color w:val="000000" w:themeColor="text1"/>
        </w:rPr>
        <w:t xml:space="preserve">. Tipuri de date în limbaj de asamblare. Principii fundamentale de programare în limbaj de asamblare. Structura generală a programelor. Declararea şi utilizarea segmentelor. Tehnici de programare în limbaj de asamblare. </w:t>
      </w:r>
      <w:r w:rsidR="00060D6B" w:rsidRPr="00632855">
        <w:rPr>
          <w:color w:val="000000" w:themeColor="text1"/>
        </w:rPr>
        <w:t>Instrucţiuni ale microprocesorului Intel 8086.</w:t>
      </w:r>
    </w:p>
    <w:p w14:paraId="795A6C09" w14:textId="77777777" w:rsidR="00060D6B" w:rsidRPr="00632855" w:rsidRDefault="00060D6B" w:rsidP="00060D6B">
      <w:pPr>
        <w:jc w:val="both"/>
        <w:rPr>
          <w:color w:val="000000" w:themeColor="text1"/>
        </w:rPr>
      </w:pPr>
    </w:p>
    <w:p w14:paraId="683DED6C" w14:textId="7A211F95" w:rsidR="00CB4256" w:rsidRPr="00632855" w:rsidRDefault="00166130" w:rsidP="00060D6B">
      <w:pPr>
        <w:ind w:left="360"/>
        <w:jc w:val="both"/>
        <w:rPr>
          <w:color w:val="000000" w:themeColor="text1"/>
        </w:rPr>
      </w:pPr>
      <w:r w:rsidRPr="00632855">
        <w:rPr>
          <w:color w:val="000000" w:themeColor="text1"/>
        </w:rPr>
        <w:t xml:space="preserve"> </w:t>
      </w:r>
    </w:p>
    <w:p w14:paraId="1CA0598F" w14:textId="2E278F52" w:rsidR="0057135F" w:rsidRPr="00632855" w:rsidRDefault="0057135F">
      <w:pPr>
        <w:rPr>
          <w:color w:val="000000" w:themeColor="text1"/>
        </w:rPr>
      </w:pPr>
    </w:p>
    <w:p w14:paraId="51574D72" w14:textId="77777777" w:rsidR="00123EF6" w:rsidRPr="00632855" w:rsidRDefault="00123EF6" w:rsidP="00265B29">
      <w:pPr>
        <w:pStyle w:val="ListParagraph"/>
        <w:suppressAutoHyphens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o-RO" w:eastAsia="ro-RO"/>
        </w:rPr>
      </w:pPr>
      <w:r w:rsidRPr="0063285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o-RO" w:eastAsia="ro-RO"/>
        </w:rPr>
        <w:t>Bibliografie</w:t>
      </w:r>
    </w:p>
    <w:p w14:paraId="1D42DDFE" w14:textId="77777777" w:rsidR="00123EF6" w:rsidRPr="00632855" w:rsidRDefault="00123EF6" w:rsidP="00123EF6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o-RO" w:eastAsia="ro-RO"/>
        </w:rPr>
      </w:pPr>
      <w:r w:rsidRPr="0063285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o-RO" w:eastAsia="ro-RO"/>
        </w:rPr>
        <w:t>V. Manta, F. Ungureanu, Introducere în ştiinţa sistemelor şi a calculatoarelor.Partea I, Ed. Gh. Asachi, Iaşi, 2002</w:t>
      </w:r>
    </w:p>
    <w:p w14:paraId="294B0901" w14:textId="77777777" w:rsidR="00123EF6" w:rsidRPr="00632855" w:rsidRDefault="00123EF6" w:rsidP="00123EF6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o-RO" w:eastAsia="ro-RO"/>
        </w:rPr>
      </w:pPr>
      <w:r w:rsidRPr="0063285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o-RO" w:eastAsia="ro-RO"/>
        </w:rPr>
        <w:t>Randall Hyde, The Art of Assembly Language, 2nd Edition, Publisher: William Pollock, 2010</w:t>
      </w:r>
    </w:p>
    <w:p w14:paraId="3EA539E3" w14:textId="77777777" w:rsidR="00123EF6" w:rsidRPr="00632855" w:rsidRDefault="00123EF6" w:rsidP="00123EF6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o-RO" w:eastAsia="ro-RO"/>
        </w:rPr>
      </w:pPr>
      <w:r w:rsidRPr="0063285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o-RO" w:eastAsia="ro-RO"/>
        </w:rPr>
        <w:t>V. Lungu, Procesoare INTEL. Programare în limbaj de asamblare, Ed. Teora, 2001</w:t>
      </w:r>
    </w:p>
    <w:p w14:paraId="3EB21834" w14:textId="1C744698" w:rsidR="00123EF6" w:rsidRPr="00632855" w:rsidRDefault="00E64503" w:rsidP="00A86B0D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o-RO" w:eastAsia="ro-RO"/>
        </w:rPr>
      </w:pPr>
      <w:r w:rsidRPr="0063285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o-RO" w:eastAsia="ro-RO"/>
        </w:rPr>
        <w:t>D. Gorgan, G. Sebestyen</w:t>
      </w:r>
      <w:r w:rsidR="00123EF6" w:rsidRPr="0063285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o-RO" w:eastAsia="ro-RO"/>
        </w:rPr>
        <w:t>, Structura calculatoarelor, Ed. Albastră, 2000</w:t>
      </w:r>
    </w:p>
    <w:p w14:paraId="33C4E579" w14:textId="6E027E7B" w:rsidR="00E64503" w:rsidRDefault="008F0725" w:rsidP="008F0725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o-RO" w:eastAsia="ro-RO"/>
        </w:rPr>
      </w:pPr>
      <w:r w:rsidRPr="0063285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o-RO" w:eastAsia="ro-RO"/>
        </w:rPr>
        <w:t xml:space="preserve">L. Vintan, </w:t>
      </w:r>
      <w:r w:rsidR="00E64503" w:rsidRPr="0063285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o-RO" w:eastAsia="ro-RO"/>
        </w:rPr>
        <w:t>Fundamente ale arhitecturii microprocesoarelor</w:t>
      </w:r>
      <w:r w:rsidRPr="0063285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o-RO" w:eastAsia="ro-RO"/>
        </w:rPr>
        <w:t>, Matrix Rom, București</w:t>
      </w:r>
      <w:r w:rsidR="0063285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o-RO" w:eastAsia="ro-RO"/>
        </w:rPr>
        <w:t xml:space="preserve"> </w:t>
      </w:r>
      <w:r w:rsidRPr="0063285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o-RO" w:eastAsia="ro-RO"/>
        </w:rPr>
        <w:t>2016</w:t>
      </w:r>
    </w:p>
    <w:p w14:paraId="70BB1BA2" w14:textId="552005DE" w:rsidR="00632855" w:rsidRDefault="00632855" w:rsidP="00632855">
      <w:pPr>
        <w:pStyle w:val="ListParagraph"/>
        <w:suppressAutoHyphens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o-RO" w:eastAsia="ro-RO"/>
        </w:rPr>
      </w:pPr>
    </w:p>
    <w:p w14:paraId="488E04C4" w14:textId="0B59BB5B" w:rsidR="00632855" w:rsidRDefault="00632855" w:rsidP="00632855">
      <w:pPr>
        <w:pStyle w:val="ListParagraph"/>
        <w:suppressAutoHyphens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o-RO" w:eastAsia="ro-RO"/>
        </w:rPr>
      </w:pPr>
    </w:p>
    <w:p w14:paraId="0C7557F8" w14:textId="0CBC8AA1" w:rsidR="00632855" w:rsidRDefault="00632855" w:rsidP="00632855">
      <w:pPr>
        <w:pStyle w:val="ListParagraph"/>
        <w:suppressAutoHyphens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o-RO" w:eastAsia="ro-RO"/>
        </w:rPr>
      </w:pPr>
    </w:p>
    <w:p w14:paraId="0E87326B" w14:textId="34E9EB62" w:rsidR="00875571" w:rsidRDefault="00875571" w:rsidP="00875571">
      <w:pPr>
        <w:jc w:val="center"/>
        <w:rPr>
          <w:lang w:val="it-IT"/>
        </w:rPr>
      </w:pPr>
      <w:r>
        <w:rPr>
          <w:lang w:val="it-IT"/>
        </w:rPr>
        <w:t>Decan,                                                              Director departament,</w:t>
      </w:r>
    </w:p>
    <w:p w14:paraId="73A5E692" w14:textId="156D3154" w:rsidR="00875571" w:rsidRDefault="00875571" w:rsidP="00875571">
      <w:pPr>
        <w:spacing w:line="360" w:lineRule="auto"/>
        <w:ind w:firstLine="720"/>
        <w:rPr>
          <w:lang w:val="it-IT"/>
        </w:rPr>
      </w:pPr>
      <w:r>
        <w:rPr>
          <w:lang w:val="it-IT"/>
        </w:rPr>
        <w:t>Prof. dr. ing. Vasile Ion Manta</w:t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  <w:t>Prof. dr. ing. Petru Cascaval</w:t>
      </w:r>
    </w:p>
    <w:p w14:paraId="381F0B8B" w14:textId="77777777" w:rsidR="00632855" w:rsidRPr="00632855" w:rsidRDefault="00632855" w:rsidP="00632855">
      <w:pPr>
        <w:pStyle w:val="ListParagraph"/>
        <w:suppressAutoHyphens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val="ro-RO" w:eastAsia="ro-RO"/>
        </w:rPr>
      </w:pPr>
    </w:p>
    <w:sectPr w:rsidR="00632855" w:rsidRPr="006328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itstream Vera Sans">
    <w:altName w:val="MS Mincho"/>
    <w:charset w:val="80"/>
    <w:family w:val="auto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2E09B1"/>
    <w:multiLevelType w:val="hybridMultilevel"/>
    <w:tmpl w:val="A5AA02C6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EF6"/>
    <w:rsid w:val="00020E85"/>
    <w:rsid w:val="00026EEC"/>
    <w:rsid w:val="00060D6B"/>
    <w:rsid w:val="00077C45"/>
    <w:rsid w:val="000D5833"/>
    <w:rsid w:val="0011062D"/>
    <w:rsid w:val="00123EF6"/>
    <w:rsid w:val="00134FE1"/>
    <w:rsid w:val="00156657"/>
    <w:rsid w:val="00166130"/>
    <w:rsid w:val="001D68BF"/>
    <w:rsid w:val="001E5211"/>
    <w:rsid w:val="00265B29"/>
    <w:rsid w:val="004475B7"/>
    <w:rsid w:val="004C3B07"/>
    <w:rsid w:val="0057135F"/>
    <w:rsid w:val="005F3DE3"/>
    <w:rsid w:val="00632855"/>
    <w:rsid w:val="00673672"/>
    <w:rsid w:val="006A0540"/>
    <w:rsid w:val="00764292"/>
    <w:rsid w:val="007A6E3C"/>
    <w:rsid w:val="00875571"/>
    <w:rsid w:val="008F0725"/>
    <w:rsid w:val="00A86B0D"/>
    <w:rsid w:val="00BE4A83"/>
    <w:rsid w:val="00C123DE"/>
    <w:rsid w:val="00CB4256"/>
    <w:rsid w:val="00E54DBF"/>
    <w:rsid w:val="00E64503"/>
    <w:rsid w:val="00F22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ECAF49"/>
  <w15:chartTrackingRefBased/>
  <w15:docId w15:val="{C874C4DF-19D1-45BF-B676-70C09434C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3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3EF6"/>
    <w:pPr>
      <w:suppressAutoHyphens/>
      <w:spacing w:after="200" w:line="276" w:lineRule="auto"/>
      <w:ind w:left="720"/>
      <w:contextualSpacing/>
    </w:pPr>
    <w:rPr>
      <w:rFonts w:ascii="Calibri" w:eastAsia="Bitstream Vera Sans" w:hAnsi="Calibri" w:cs="Calibri"/>
      <w:kern w:val="1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 Manta</dc:creator>
  <cp:keywords/>
  <dc:description/>
  <cp:lastModifiedBy>Elena</cp:lastModifiedBy>
  <cp:revision>2</cp:revision>
  <dcterms:created xsi:type="dcterms:W3CDTF">2020-03-25T08:35:00Z</dcterms:created>
  <dcterms:modified xsi:type="dcterms:W3CDTF">2020-03-25T08:35:00Z</dcterms:modified>
</cp:coreProperties>
</file>